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A54" w:rsidRDefault="001A1081">
      <w:pPr>
        <w:spacing w:after="300"/>
        <w:jc w:val="center"/>
      </w:pPr>
      <w:bookmarkStart w:id="0" w:name="_GoBack"/>
      <w:bookmarkEnd w:id="0"/>
      <w:r>
        <w:rPr>
          <w:rFonts w:ascii="Times New Roman" w:eastAsia="Times New Roman" w:hAnsi="Times New Roman" w:cs="Times New Roman"/>
          <w:b/>
          <w:sz w:val="26"/>
        </w:rPr>
        <w:t>Chi tiết thủ tục hành chính</w:t>
      </w:r>
    </w:p>
    <w:p w:rsidR="00105A54" w:rsidRDefault="001A1081">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2.001157.000.00.00.H18</w:t>
      </w:r>
    </w:p>
    <w:p w:rsidR="00105A54" w:rsidRDefault="001A1081">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1284/QĐ-UBND</w:t>
      </w:r>
    </w:p>
    <w:p w:rsidR="00105A54" w:rsidRDefault="001A1081">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Trợ cấp một lần đối với thanh niên xung phong đã hoàn thành nhiệm vụ trong kháng chiến</w:t>
      </w:r>
    </w:p>
    <w:p w:rsidR="00105A54" w:rsidRDefault="001A1081">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 Cơ quan khác</w:t>
      </w:r>
    </w:p>
    <w:p w:rsidR="00105A54" w:rsidRDefault="001A1081">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w:t>
      </w:r>
      <w:r>
        <w:rPr>
          <w:rFonts w:ascii="Times New Roman" w:eastAsia="Times New Roman" w:hAnsi="Times New Roman" w:cs="Times New Roman"/>
          <w:sz w:val="26"/>
        </w:rPr>
        <w:t xml:space="preserve"> không được luật giao cho địa phương quy định hoặc quy định chi tiết</w:t>
      </w:r>
    </w:p>
    <w:p w:rsidR="00105A54" w:rsidRDefault="001A1081">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105A54" w:rsidRDefault="001A1081">
      <w:pPr>
        <w:spacing w:after="0"/>
        <w:jc w:val="both"/>
      </w:pPr>
      <w:r>
        <w:rPr>
          <w:rFonts w:ascii="Times New Roman" w:eastAsia="Times New Roman" w:hAnsi="Times New Roman" w:cs="Times New Roman"/>
          <w:b/>
          <w:sz w:val="26"/>
        </w:rPr>
        <w:t xml:space="preserve">Trình tự thực hiện: </w:t>
      </w:r>
    </w:p>
    <w:p w:rsidR="00105A54" w:rsidRDefault="00105A54">
      <w:pPr>
        <w:shd w:val="clear" w:color="auto" w:fill="F2F6F9"/>
        <w:spacing w:before="120" w:after="0"/>
        <w:jc w:val="both"/>
      </w:pPr>
    </w:p>
    <w:p w:rsidR="00105A54" w:rsidRDefault="001A1081">
      <w:pPr>
        <w:spacing w:after="0"/>
        <w:jc w:val="both"/>
      </w:pPr>
      <w:r>
        <w:rPr>
          <w:rFonts w:ascii="Times New Roman" w:eastAsia="Times New Roman" w:hAnsi="Times New Roman" w:cs="Times New Roman"/>
          <w:sz w:val="26"/>
        </w:rPr>
        <w:t xml:space="preserve">Bước 1: Đối tượng thanh niên xung phong hoặc thân nhân của thanh niên xung phong (trường hợp thanh niên xung phong đã từ trần) thực hiện nộp </w:t>
      </w:r>
      <w:r>
        <w:rPr>
          <w:rFonts w:ascii="Times New Roman" w:eastAsia="Times New Roman" w:hAnsi="Times New Roman" w:cs="Times New Roman"/>
          <w:sz w:val="26"/>
        </w:rPr>
        <w:t>01 bộ hồ sơ theo quy định tại Điều 12 Thông tư số 09/2025/TT-BNV ngày 18/6/2025 của Bộ trưởng Bộ Nội vụ quy định về phân định thẩm quyền và phân cấp thực hiện nhiệm vụ quản lý nhà nước trong lĩnh vực nội vụ (sau đây gọi tắt là Thông tư số 09/2025/TT-BNV) c</w:t>
      </w:r>
      <w:r>
        <w:rPr>
          <w:rFonts w:ascii="Times New Roman" w:eastAsia="Times New Roman" w:hAnsi="Times New Roman" w:cs="Times New Roman"/>
          <w:sz w:val="26"/>
        </w:rPr>
        <w:t xml:space="preserve">ho Trung tâm Phục vụ hành chính công cấp xã nơi đăng ký hộ khẩu thường trú. Bước 2: Trong thời hạn 05 ngày làm việc, Ủy ban nhân dân cấp xã có trách nhiệm: (i) Tổ chức hội nghị và lập biên bản xác nhận hồ sơ xét hưởng chế độ trợ cấp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Mẫu số 08 Phụ lục </w:t>
      </w:r>
      <w:r>
        <w:rPr>
          <w:rFonts w:ascii="Times New Roman" w:eastAsia="Times New Roman" w:hAnsi="Times New Roman" w:cs="Times New Roman"/>
          <w:sz w:val="26"/>
        </w:rPr>
        <w:t>I ban hành kèm theo Thông tư số 09/2025/TT-BNV. Thành phần hội nghị gồm đại diện lãnh đạo cấp xã (Ủy ban nhân dân, Đảng ủy, Mặt trận Tổ quốc, Hội Cựu thanh niên xung phong hoặc Ban liên lạc Cựu thanh niên xung phong), Trưởng thôn có đối tượng thanh niên xu</w:t>
      </w:r>
      <w:r>
        <w:rPr>
          <w:rFonts w:ascii="Times New Roman" w:eastAsia="Times New Roman" w:hAnsi="Times New Roman" w:cs="Times New Roman"/>
          <w:sz w:val="26"/>
        </w:rPr>
        <w:t>ng phong đề nghị giải quyết chế độ trợ cấp. (ii) Tổng hợp hồ sơ xét hưởng chế độ trợ cấp đối với thanh niên xung phong báo cáo Ủy ban nhân dân cấp tỉnh thông qua Sở Nội vụ. Bước 3: Trong thời hạn 10 ngày, kể từ ngày nhận đủ hồ sơ theo quy định (theo từng đ</w:t>
      </w:r>
      <w:r>
        <w:rPr>
          <w:rFonts w:ascii="Times New Roman" w:eastAsia="Times New Roman" w:hAnsi="Times New Roman" w:cs="Times New Roman"/>
          <w:sz w:val="26"/>
        </w:rPr>
        <w:t>ợt), Ủy ban nhân dân cấp tỉnh có trách nhiệm:  (i) Hoàn thành xét duyệt, thẩm định, tổng hợp, ra quyết định hưởng chế độ trợ cấp theo Mẫu số 09, Mẫu số 10 Phụ lục I ban hành kèm theo Thông tư số 09/2025/TT-BNV, kèm theo biểu tổng hợp danh sách thanh niên x</w:t>
      </w:r>
      <w:r>
        <w:rPr>
          <w:rFonts w:ascii="Times New Roman" w:eastAsia="Times New Roman" w:hAnsi="Times New Roman" w:cs="Times New Roman"/>
          <w:sz w:val="26"/>
        </w:rPr>
        <w:t>ung phong đề nghị hưởng chế độ trợ cấp lập theo Mẫu số 12, Mẫu số 13 Phụ lục I ban hành kèm theo Thông tư số 09/2025/TT-BNV. Đối với trường hợp thanh niên xung phong không còn một trong các giấy tờ chứng minh quy định tại điểm a, b khoản 1 Điều 12 Thông tư</w:t>
      </w:r>
      <w:r>
        <w:rPr>
          <w:rFonts w:ascii="Times New Roman" w:eastAsia="Times New Roman" w:hAnsi="Times New Roman" w:cs="Times New Roman"/>
          <w:sz w:val="26"/>
        </w:rPr>
        <w:t xml:space="preserve"> số 09/2025/TT-BNV, tổng hợp, chuyển danh sách đối tượng đến Hội Cựu thanh niên xung phong cấp tỉnh để kiểm tra, xác nhận, tham gia ý kiến trước khi quyết định. (ii) Hoàn thành việc tổng hợp danh sách đối tượng được hưởng trợ cấp một lần theo Mẫu số 15 Phụ</w:t>
      </w:r>
      <w:r>
        <w:rPr>
          <w:rFonts w:ascii="Times New Roman" w:eastAsia="Times New Roman" w:hAnsi="Times New Roman" w:cs="Times New Roman"/>
          <w:sz w:val="26"/>
        </w:rPr>
        <w:t xml:space="preserve"> lục I ban hành kèm theo Thông tư này sau khi có Quyết định về giải quyết chế độ trợ cấp đối với thanh niên xung phong (theo từng đợt), kèm theo công văn đề nghị bổ sung dự toán chi chế độ trợ cấp một lần, gửi 02 bản về Bộ Nội vụ.  (iii) Lưu giữ hồ sơ đối </w:t>
      </w:r>
      <w:r>
        <w:rPr>
          <w:rFonts w:ascii="Times New Roman" w:eastAsia="Times New Roman" w:hAnsi="Times New Roman" w:cs="Times New Roman"/>
          <w:sz w:val="26"/>
        </w:rPr>
        <w:t xml:space="preserve">tượng được hưởng chế độ trợ cấp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quy định.</w:t>
      </w:r>
    </w:p>
    <w:p w:rsidR="00105A54" w:rsidRDefault="001A1081">
      <w:pPr>
        <w:spacing w:before="240" w:after="0"/>
        <w:jc w:val="both"/>
      </w:pPr>
      <w:r>
        <w:rPr>
          <w:rFonts w:ascii="Times New Roman" w:eastAsia="Times New Roman" w:hAnsi="Times New Roman" w:cs="Times New Roman"/>
          <w:b/>
          <w:sz w:val="26"/>
        </w:rPr>
        <w:lastRenderedPageBreak/>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59"/>
        <w:gridCol w:w="1502"/>
        <w:gridCol w:w="2385"/>
        <w:gridCol w:w="4075"/>
      </w:tblGrid>
      <w:tr w:rsidR="00105A54">
        <w:tblPrEx>
          <w:tblCellMar>
            <w:top w:w="0" w:type="dxa"/>
            <w:bottom w:w="0" w:type="dxa"/>
          </w:tblCellMar>
        </w:tblPrEx>
        <w:tc>
          <w:tcPr>
            <w:tcW w:w="1500" w:type="dxa"/>
          </w:tcPr>
          <w:p w:rsidR="00105A54" w:rsidRDefault="00105A54"/>
          <w:p w:rsidR="00105A54" w:rsidRDefault="001A1081">
            <w:pPr>
              <w:spacing w:after="0"/>
              <w:jc w:val="center"/>
            </w:pPr>
            <w:r>
              <w:rPr>
                <w:rFonts w:ascii="Times New Roman" w:eastAsia="Times New Roman" w:hAnsi="Times New Roman" w:cs="Times New Roman"/>
                <w:b/>
                <w:sz w:val="26"/>
              </w:rPr>
              <w:t>Hình thức nộp</w:t>
            </w:r>
          </w:p>
        </w:tc>
        <w:tc>
          <w:tcPr>
            <w:tcW w:w="2000" w:type="dxa"/>
          </w:tcPr>
          <w:p w:rsidR="00105A54" w:rsidRDefault="00105A54"/>
          <w:p w:rsidR="00105A54" w:rsidRDefault="001A1081">
            <w:pPr>
              <w:spacing w:after="0"/>
              <w:jc w:val="center"/>
            </w:pPr>
            <w:r>
              <w:rPr>
                <w:rFonts w:ascii="Times New Roman" w:eastAsia="Times New Roman" w:hAnsi="Times New Roman" w:cs="Times New Roman"/>
                <w:b/>
                <w:sz w:val="26"/>
              </w:rPr>
              <w:t>Thời hạn giải quyết</w:t>
            </w:r>
          </w:p>
        </w:tc>
        <w:tc>
          <w:tcPr>
            <w:tcW w:w="3500" w:type="dxa"/>
          </w:tcPr>
          <w:p w:rsidR="00105A54" w:rsidRDefault="00105A54"/>
          <w:p w:rsidR="00105A54" w:rsidRDefault="001A1081">
            <w:pPr>
              <w:spacing w:after="0"/>
              <w:jc w:val="center"/>
            </w:pPr>
            <w:r>
              <w:rPr>
                <w:rFonts w:ascii="Times New Roman" w:eastAsia="Times New Roman" w:hAnsi="Times New Roman" w:cs="Times New Roman"/>
                <w:b/>
                <w:sz w:val="26"/>
              </w:rPr>
              <w:t>Phí, lệ phí</w:t>
            </w:r>
          </w:p>
        </w:tc>
        <w:tc>
          <w:tcPr>
            <w:tcW w:w="3000" w:type="dxa"/>
          </w:tcPr>
          <w:p w:rsidR="00105A54" w:rsidRDefault="00105A54"/>
          <w:p w:rsidR="00105A54" w:rsidRDefault="001A1081">
            <w:pPr>
              <w:spacing w:after="0"/>
              <w:jc w:val="center"/>
            </w:pPr>
            <w:r>
              <w:rPr>
                <w:rFonts w:ascii="Times New Roman" w:eastAsia="Times New Roman" w:hAnsi="Times New Roman" w:cs="Times New Roman"/>
                <w:b/>
                <w:sz w:val="26"/>
              </w:rPr>
              <w:t>Mô tả</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Trực tiếp</w:t>
            </w:r>
          </w:p>
        </w:tc>
        <w:tc>
          <w:tcPr>
            <w:tcW w:w="0" w:type="auto"/>
          </w:tcPr>
          <w:p w:rsidR="00105A54" w:rsidRDefault="00105A54"/>
          <w:p w:rsidR="00105A54" w:rsidRDefault="001A1081">
            <w:pPr>
              <w:spacing w:after="0"/>
            </w:pPr>
            <w:r>
              <w:rPr>
                <w:rFonts w:ascii="Times New Roman" w:eastAsia="Times New Roman" w:hAnsi="Times New Roman" w:cs="Times New Roman"/>
                <w:sz w:val="26"/>
              </w:rPr>
              <w:t>15 Ngày làm việc</w:t>
            </w:r>
          </w:p>
        </w:tc>
        <w:tc>
          <w:tcPr>
            <w:tcW w:w="0" w:type="auto"/>
          </w:tcPr>
          <w:p w:rsidR="00105A54" w:rsidRDefault="00105A54"/>
          <w:p w:rsidR="00105A54" w:rsidRDefault="00105A54">
            <w:pPr>
              <w:spacing w:after="0"/>
            </w:pPr>
          </w:p>
        </w:tc>
        <w:tc>
          <w:tcPr>
            <w:tcW w:w="0" w:type="auto"/>
          </w:tcPr>
          <w:p w:rsidR="00105A54" w:rsidRDefault="00105A54"/>
          <w:p w:rsidR="00105A54" w:rsidRDefault="001A1081">
            <w:pPr>
              <w:spacing w:after="0"/>
            </w:pPr>
            <w:r>
              <w:rPr>
                <w:rFonts w:ascii="Times New Roman" w:eastAsia="Times New Roman" w:hAnsi="Times New Roman" w:cs="Times New Roman"/>
                <w:sz w:val="26"/>
              </w:rPr>
              <w:t>15 ngày làm việc kể từ khi nhận được hồ sơ đầy đủ, hợp lệ</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Trực tuyến</w:t>
            </w:r>
          </w:p>
        </w:tc>
        <w:tc>
          <w:tcPr>
            <w:tcW w:w="0" w:type="auto"/>
          </w:tcPr>
          <w:p w:rsidR="00105A54" w:rsidRDefault="00105A54"/>
          <w:p w:rsidR="00105A54" w:rsidRDefault="001A1081">
            <w:pPr>
              <w:spacing w:after="0"/>
            </w:pPr>
            <w:r>
              <w:rPr>
                <w:rFonts w:ascii="Times New Roman" w:eastAsia="Times New Roman" w:hAnsi="Times New Roman" w:cs="Times New Roman"/>
                <w:sz w:val="26"/>
              </w:rPr>
              <w:t>15 Ngày làm việc</w:t>
            </w:r>
          </w:p>
        </w:tc>
        <w:tc>
          <w:tcPr>
            <w:tcW w:w="0" w:type="auto"/>
          </w:tcPr>
          <w:p w:rsidR="00105A54" w:rsidRDefault="00105A54"/>
          <w:p w:rsidR="00105A54" w:rsidRDefault="00105A54">
            <w:pPr>
              <w:spacing w:after="0"/>
            </w:pPr>
          </w:p>
        </w:tc>
        <w:tc>
          <w:tcPr>
            <w:tcW w:w="0" w:type="auto"/>
          </w:tcPr>
          <w:p w:rsidR="00105A54" w:rsidRDefault="00105A54"/>
          <w:p w:rsidR="00105A54" w:rsidRDefault="001A1081">
            <w:pPr>
              <w:spacing w:after="0"/>
            </w:pPr>
            <w:r>
              <w:rPr>
                <w:rFonts w:ascii="Times New Roman" w:eastAsia="Times New Roman" w:hAnsi="Times New Roman" w:cs="Times New Roman"/>
                <w:sz w:val="26"/>
              </w:rPr>
              <w:t xml:space="preserve">15 </w:t>
            </w:r>
            <w:r>
              <w:rPr>
                <w:rFonts w:ascii="Times New Roman" w:eastAsia="Times New Roman" w:hAnsi="Times New Roman" w:cs="Times New Roman"/>
                <w:sz w:val="26"/>
              </w:rPr>
              <w:t>ngày làm việc kể từ khi nhận được hồ sơ đầy đủ, hợp lệ</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Dịch vụ bưu chính</w:t>
            </w:r>
          </w:p>
        </w:tc>
        <w:tc>
          <w:tcPr>
            <w:tcW w:w="0" w:type="auto"/>
          </w:tcPr>
          <w:p w:rsidR="00105A54" w:rsidRDefault="00105A54"/>
          <w:p w:rsidR="00105A54" w:rsidRDefault="001A1081">
            <w:pPr>
              <w:spacing w:after="0"/>
            </w:pPr>
            <w:r>
              <w:rPr>
                <w:rFonts w:ascii="Times New Roman" w:eastAsia="Times New Roman" w:hAnsi="Times New Roman" w:cs="Times New Roman"/>
                <w:sz w:val="26"/>
              </w:rPr>
              <w:t>15 Ngày làm việc</w:t>
            </w:r>
          </w:p>
        </w:tc>
        <w:tc>
          <w:tcPr>
            <w:tcW w:w="0" w:type="auto"/>
          </w:tcPr>
          <w:p w:rsidR="00105A54" w:rsidRDefault="00105A54"/>
          <w:p w:rsidR="00105A54" w:rsidRDefault="00105A54">
            <w:pPr>
              <w:spacing w:after="0"/>
            </w:pPr>
          </w:p>
        </w:tc>
        <w:tc>
          <w:tcPr>
            <w:tcW w:w="0" w:type="auto"/>
          </w:tcPr>
          <w:p w:rsidR="00105A54" w:rsidRDefault="00105A54"/>
          <w:p w:rsidR="00105A54" w:rsidRDefault="001A1081">
            <w:pPr>
              <w:spacing w:after="0"/>
            </w:pPr>
            <w:r>
              <w:rPr>
                <w:rFonts w:ascii="Times New Roman" w:eastAsia="Times New Roman" w:hAnsi="Times New Roman" w:cs="Times New Roman"/>
                <w:sz w:val="26"/>
              </w:rPr>
              <w:t>15 ngày làm việc kể từ khi nhận được hồ sơ đầy đủ, hợp lệ</w:t>
            </w:r>
          </w:p>
        </w:tc>
      </w:tr>
    </w:tbl>
    <w:p w:rsidR="00105A54" w:rsidRDefault="001A1081">
      <w:pPr>
        <w:spacing w:before="240" w:after="0"/>
        <w:jc w:val="both"/>
      </w:pPr>
      <w:r>
        <w:rPr>
          <w:rFonts w:ascii="Times New Roman" w:eastAsia="Times New Roman" w:hAnsi="Times New Roman" w:cs="Times New Roman"/>
          <w:b/>
          <w:sz w:val="26"/>
        </w:rPr>
        <w:t xml:space="preserve">Thành phần hồ sơ: </w:t>
      </w:r>
    </w:p>
    <w:p w:rsidR="00105A54" w:rsidRDefault="001A1081">
      <w:pPr>
        <w:shd w:val="clear" w:color="auto" w:fill="F2F6F9"/>
        <w:spacing w:before="120" w:after="0"/>
        <w:jc w:val="both"/>
      </w:pPr>
      <w:r>
        <w:rPr>
          <w:rFonts w:ascii="Times New Roman" w:eastAsia="Times New Roman" w:hAnsi="Times New Roman" w:cs="Times New Roman"/>
          <w:b/>
          <w:sz w:val="26"/>
        </w:rPr>
        <w:t xml:space="preserve">(i) Một trong các giấy tờ sau đây chứng minh là thanh niên xung phong (là bản </w:t>
      </w:r>
      <w:r>
        <w:rPr>
          <w:rFonts w:ascii="Times New Roman" w:eastAsia="Times New Roman" w:hAnsi="Times New Roman" w:cs="Times New Roman"/>
          <w:b/>
          <w:sz w:val="26"/>
        </w:rPr>
        <w:t>chính hoặc bản sao có chứng thực của Ủy ban nhân dân cấp xã):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633"/>
        <w:gridCol w:w="842"/>
        <w:gridCol w:w="946"/>
      </w:tblGrid>
      <w:tr w:rsidR="00105A54">
        <w:tblPrEx>
          <w:tblCellMar>
            <w:top w:w="0" w:type="dxa"/>
            <w:bottom w:w="0" w:type="dxa"/>
          </w:tblCellMar>
        </w:tblPrEx>
        <w:tc>
          <w:tcPr>
            <w:tcW w:w="6000" w:type="dxa"/>
          </w:tcPr>
          <w:p w:rsidR="00105A54" w:rsidRDefault="00105A54"/>
          <w:p w:rsidR="00105A54" w:rsidRDefault="001A1081">
            <w:pPr>
              <w:spacing w:after="0"/>
              <w:jc w:val="center"/>
            </w:pPr>
            <w:r>
              <w:rPr>
                <w:rFonts w:ascii="Times New Roman" w:eastAsia="Times New Roman" w:hAnsi="Times New Roman" w:cs="Times New Roman"/>
                <w:b/>
                <w:sz w:val="26"/>
              </w:rPr>
              <w:t>Tên giấy tờ</w:t>
            </w:r>
          </w:p>
        </w:tc>
        <w:tc>
          <w:tcPr>
            <w:tcW w:w="2000" w:type="dxa"/>
          </w:tcPr>
          <w:p w:rsidR="00105A54" w:rsidRDefault="00105A54"/>
          <w:p w:rsidR="00105A54" w:rsidRDefault="001A1081">
            <w:pPr>
              <w:spacing w:after="0"/>
              <w:jc w:val="center"/>
            </w:pPr>
            <w:r>
              <w:rPr>
                <w:rFonts w:ascii="Times New Roman" w:eastAsia="Times New Roman" w:hAnsi="Times New Roman" w:cs="Times New Roman"/>
                <w:b/>
                <w:sz w:val="26"/>
              </w:rPr>
              <w:t>Mẫu đơn, tờ khai</w:t>
            </w:r>
          </w:p>
        </w:tc>
        <w:tc>
          <w:tcPr>
            <w:tcW w:w="2000" w:type="dxa"/>
          </w:tcPr>
          <w:p w:rsidR="00105A54" w:rsidRDefault="00105A54"/>
          <w:p w:rsidR="00105A54" w:rsidRDefault="001A1081">
            <w:pPr>
              <w:spacing w:after="0"/>
              <w:jc w:val="center"/>
            </w:pPr>
            <w:r>
              <w:rPr>
                <w:rFonts w:ascii="Times New Roman" w:eastAsia="Times New Roman" w:hAnsi="Times New Roman" w:cs="Times New Roman"/>
                <w:b/>
                <w:sz w:val="26"/>
              </w:rPr>
              <w:t>Số lượng</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 Lý lịch cán bộ hoặc lý lịch đảng viên khai trước ngày 24 tháng 9 năm 1999;</w:t>
            </w:r>
          </w:p>
        </w:tc>
        <w:tc>
          <w:tcPr>
            <w:tcW w:w="0" w:type="auto"/>
          </w:tcPr>
          <w:p w:rsidR="00105A54" w:rsidRDefault="00105A54"/>
        </w:tc>
        <w:tc>
          <w:tcPr>
            <w:tcW w:w="0" w:type="auto"/>
          </w:tcPr>
          <w:p w:rsidR="00105A54" w:rsidRDefault="00105A54"/>
          <w:p w:rsidR="00105A54" w:rsidRDefault="001A108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 xml:space="preserve">- Giấy tờ do cơ quan có thẩm quyền cấp trước </w:t>
            </w:r>
            <w:r>
              <w:rPr>
                <w:rFonts w:ascii="Times New Roman" w:eastAsia="Times New Roman" w:hAnsi="Times New Roman" w:cs="Times New Roman"/>
                <w:sz w:val="26"/>
              </w:rPr>
              <w:t>khi thanh niên xung phong trở về địa phương như: Giấy chứng nhận hoàn thành nhiệm vụ của đơn vị quản lý thanh niên xung phong; Giấy chuyển thương, chuyển viện, phiếu sức khoẻ; Giấy khen trong thời gian tham gia lực lượng thanh niên xung phong; Giấy chứng n</w:t>
            </w:r>
            <w:r>
              <w:rPr>
                <w:rFonts w:ascii="Times New Roman" w:eastAsia="Times New Roman" w:hAnsi="Times New Roman" w:cs="Times New Roman"/>
                <w:sz w:val="26"/>
              </w:rPr>
              <w:t>hận tham gia thanh niên xung phong; Giấy điều động công tác, bổ nhiệm, giao nhiệm vụ;</w:t>
            </w:r>
          </w:p>
        </w:tc>
        <w:tc>
          <w:tcPr>
            <w:tcW w:w="0" w:type="auto"/>
          </w:tcPr>
          <w:p w:rsidR="00105A54" w:rsidRDefault="00105A54"/>
        </w:tc>
        <w:tc>
          <w:tcPr>
            <w:tcW w:w="0" w:type="auto"/>
          </w:tcPr>
          <w:p w:rsidR="00105A54" w:rsidRDefault="00105A54"/>
          <w:p w:rsidR="00105A54" w:rsidRDefault="001A108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 xml:space="preserve">- Trường hợp thanh niên xung phong không còn một trong các giấy tờ </w:t>
            </w:r>
            <w:r>
              <w:rPr>
                <w:rFonts w:ascii="Times New Roman" w:eastAsia="Times New Roman" w:hAnsi="Times New Roman" w:cs="Times New Roman"/>
                <w:sz w:val="26"/>
              </w:rPr>
              <w:lastRenderedPageBreak/>
              <w:t xml:space="preserve">quy định tại điểm a và b khoản Điều 12 Thông tư số 09/2025/TT-BNV thì phải </w:t>
            </w:r>
            <w:r>
              <w:rPr>
                <w:rFonts w:ascii="Times New Roman" w:eastAsia="Times New Roman" w:hAnsi="Times New Roman" w:cs="Times New Roman"/>
                <w:sz w:val="26"/>
              </w:rPr>
              <w:t>nộp bản khai có chứng thực của Ủy ban nhân dân cấp xã nơi đăng ký hộ khẩu thường trú trước khi tham gia thanh niên xung phong (bản chính). Ủy ban nhân dân cấp xã có trách nhiệm xác nhận bản khai đối với đối tượng là người địa phương đi thanh niên xung phon</w:t>
            </w:r>
            <w:r>
              <w:rPr>
                <w:rFonts w:ascii="Times New Roman" w:eastAsia="Times New Roman" w:hAnsi="Times New Roman" w:cs="Times New Roman"/>
                <w:sz w:val="26"/>
              </w:rPr>
              <w:t>g nhưng hiện đang đăng ký hộ khẩu thường trú ở địa phương khác (nội dung xác nhận theo Mẫu số 08 Phụ lục I ban hành kèm theo Thông tư số 09/2025/TT-BNV).</w:t>
            </w:r>
          </w:p>
        </w:tc>
        <w:tc>
          <w:tcPr>
            <w:tcW w:w="0" w:type="auto"/>
          </w:tcPr>
          <w:p w:rsidR="00105A54" w:rsidRDefault="00105A54"/>
        </w:tc>
        <w:tc>
          <w:tcPr>
            <w:tcW w:w="0" w:type="auto"/>
          </w:tcPr>
          <w:p w:rsidR="00105A54" w:rsidRDefault="00105A54"/>
          <w:p w:rsidR="00105A54" w:rsidRDefault="001A1081">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1</w:t>
            </w:r>
            <w:r>
              <w:rPr>
                <w:rFonts w:ascii="Times New Roman" w:eastAsia="Times New Roman" w:hAnsi="Times New Roman" w:cs="Times New Roman"/>
                <w:sz w:val="26"/>
              </w:rPr>
              <w:br/>
              <w:t>Bản sao: 0</w:t>
            </w:r>
          </w:p>
        </w:tc>
      </w:tr>
    </w:tbl>
    <w:p w:rsidR="00105A54" w:rsidRDefault="001A1081">
      <w:pPr>
        <w:shd w:val="clear" w:color="auto" w:fill="F2F6F9"/>
        <w:spacing w:before="120" w:after="0"/>
        <w:jc w:val="both"/>
      </w:pPr>
      <w:r>
        <w:rPr>
          <w:rFonts w:ascii="Times New Roman" w:eastAsia="Times New Roman" w:hAnsi="Times New Roman" w:cs="Times New Roman"/>
          <w:b/>
          <w:sz w:val="26"/>
        </w:rPr>
        <w:lastRenderedPageBreak/>
        <w:t>(ii) Bản khai cá nhân, cụ thể: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489"/>
        <w:gridCol w:w="2916"/>
        <w:gridCol w:w="1016"/>
      </w:tblGrid>
      <w:tr w:rsidR="00105A54">
        <w:tblPrEx>
          <w:tblCellMar>
            <w:top w:w="0" w:type="dxa"/>
            <w:bottom w:w="0" w:type="dxa"/>
          </w:tblCellMar>
        </w:tblPrEx>
        <w:tc>
          <w:tcPr>
            <w:tcW w:w="6000" w:type="dxa"/>
          </w:tcPr>
          <w:p w:rsidR="00105A54" w:rsidRDefault="00105A54"/>
          <w:p w:rsidR="00105A54" w:rsidRDefault="001A1081">
            <w:pPr>
              <w:spacing w:after="0"/>
              <w:jc w:val="center"/>
            </w:pPr>
            <w:r>
              <w:rPr>
                <w:rFonts w:ascii="Times New Roman" w:eastAsia="Times New Roman" w:hAnsi="Times New Roman" w:cs="Times New Roman"/>
                <w:b/>
                <w:sz w:val="26"/>
              </w:rPr>
              <w:t>Tên giấy tờ</w:t>
            </w:r>
          </w:p>
        </w:tc>
        <w:tc>
          <w:tcPr>
            <w:tcW w:w="2000" w:type="dxa"/>
          </w:tcPr>
          <w:p w:rsidR="00105A54" w:rsidRDefault="00105A54"/>
          <w:p w:rsidR="00105A54" w:rsidRDefault="001A1081">
            <w:pPr>
              <w:spacing w:after="0"/>
              <w:jc w:val="center"/>
            </w:pPr>
            <w:r>
              <w:rPr>
                <w:rFonts w:ascii="Times New Roman" w:eastAsia="Times New Roman" w:hAnsi="Times New Roman" w:cs="Times New Roman"/>
                <w:b/>
                <w:sz w:val="26"/>
              </w:rPr>
              <w:t>Mẫu đơn, tờ khai</w:t>
            </w:r>
          </w:p>
        </w:tc>
        <w:tc>
          <w:tcPr>
            <w:tcW w:w="2000" w:type="dxa"/>
          </w:tcPr>
          <w:p w:rsidR="00105A54" w:rsidRDefault="00105A54"/>
          <w:p w:rsidR="00105A54" w:rsidRDefault="001A1081">
            <w:pPr>
              <w:spacing w:after="0"/>
              <w:jc w:val="center"/>
            </w:pPr>
            <w:r>
              <w:rPr>
                <w:rFonts w:ascii="Times New Roman" w:eastAsia="Times New Roman" w:hAnsi="Times New Roman" w:cs="Times New Roman"/>
                <w:b/>
                <w:sz w:val="26"/>
              </w:rPr>
              <w:t>Số lượng</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w:t>
            </w:r>
            <w:r>
              <w:rPr>
                <w:rFonts w:ascii="Times New Roman" w:eastAsia="Times New Roman" w:hAnsi="Times New Roman" w:cs="Times New Roman"/>
                <w:sz w:val="26"/>
              </w:rPr>
              <w:t xml:space="preserve"> Trường hợp thanh niên xung phong còn sống, lập đề nghị hưởng trợ cấp một lần theo Mẫu số 05 Phụ lục I ban hành kèm theo Thông tư số 09/2025/TT-BNV;</w:t>
            </w:r>
          </w:p>
        </w:tc>
        <w:tc>
          <w:tcPr>
            <w:tcW w:w="0" w:type="auto"/>
          </w:tcPr>
          <w:p w:rsidR="00105A54" w:rsidRDefault="00105A54"/>
          <w:p w:rsidR="00105A54" w:rsidRDefault="001A1081">
            <w:pPr>
              <w:spacing w:after="0"/>
            </w:pPr>
            <w:r>
              <w:rPr>
                <w:rFonts w:ascii="Times New Roman" w:eastAsia="Times New Roman" w:hAnsi="Times New Roman" w:cs="Times New Roman"/>
                <w:sz w:val="26"/>
              </w:rPr>
              <w:t>Mauso05_TT09_2025.docx</w:t>
            </w:r>
          </w:p>
        </w:tc>
        <w:tc>
          <w:tcPr>
            <w:tcW w:w="0" w:type="auto"/>
          </w:tcPr>
          <w:p w:rsidR="00105A54" w:rsidRDefault="00105A54"/>
          <w:p w:rsidR="00105A54" w:rsidRDefault="001A108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 xml:space="preserve">- Trường hợp thanh niên xung phong đã từ trần thì thân </w:t>
            </w:r>
            <w:r>
              <w:rPr>
                <w:rFonts w:ascii="Times New Roman" w:eastAsia="Times New Roman" w:hAnsi="Times New Roman" w:cs="Times New Roman"/>
                <w:sz w:val="26"/>
              </w:rPr>
              <w:t>nhân thanh niên xung phong lập theo Mẫu số 06 Phụ lục I ban hành kèm theo Thông tư số 09/2025/TT-BNV;</w:t>
            </w:r>
          </w:p>
        </w:tc>
        <w:tc>
          <w:tcPr>
            <w:tcW w:w="0" w:type="auto"/>
          </w:tcPr>
          <w:p w:rsidR="00105A54" w:rsidRDefault="00105A54"/>
          <w:p w:rsidR="00105A54" w:rsidRDefault="001A1081">
            <w:pPr>
              <w:spacing w:after="0"/>
            </w:pPr>
            <w:r>
              <w:rPr>
                <w:rFonts w:ascii="Times New Roman" w:eastAsia="Times New Roman" w:hAnsi="Times New Roman" w:cs="Times New Roman"/>
                <w:sz w:val="26"/>
              </w:rPr>
              <w:t>Mauso06_TT09_2025.docx</w:t>
            </w:r>
          </w:p>
        </w:tc>
        <w:tc>
          <w:tcPr>
            <w:tcW w:w="0" w:type="auto"/>
          </w:tcPr>
          <w:p w:rsidR="00105A54" w:rsidRDefault="00105A54"/>
          <w:p w:rsidR="00105A54" w:rsidRDefault="001A1081">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105A54" w:rsidRDefault="001A1081">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105A54" w:rsidRDefault="001A1081">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Ủy ban nhân dân cấp xã, Sở Nội vụ - tỉnh Điện </w:t>
      </w:r>
      <w:r>
        <w:rPr>
          <w:rFonts w:ascii="Times New Roman" w:eastAsia="Times New Roman" w:hAnsi="Times New Roman" w:cs="Times New Roman"/>
          <w:sz w:val="26"/>
        </w:rPr>
        <w:t>Biên</w:t>
      </w:r>
    </w:p>
    <w:p w:rsidR="00105A54" w:rsidRDefault="001A1081">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cấp tỉnh</w:t>
      </w:r>
    </w:p>
    <w:p w:rsidR="00105A54" w:rsidRDefault="001A1081">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105A54" w:rsidRDefault="001A1081">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105A54" w:rsidRDefault="001A1081">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105A54" w:rsidRDefault="001A1081">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về việc giải quyết chế</w:t>
      </w:r>
      <w:r>
        <w:rPr>
          <w:rFonts w:ascii="Times New Roman" w:eastAsia="Times New Roman" w:hAnsi="Times New Roman" w:cs="Times New Roman"/>
          <w:sz w:val="26"/>
        </w:rPr>
        <w:t xml:space="preserve"> độ trợ cấp một lần đối với thanh niên xung phong/Quyết định về việc giải quyết chế độ trợ cấp một lần đối với thanh niên xung phong đã từ trần</w:t>
      </w:r>
    </w:p>
    <w:p w:rsidR="00105A54" w:rsidRDefault="001A1081">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2464"/>
        <w:gridCol w:w="5118"/>
        <w:gridCol w:w="685"/>
        <w:gridCol w:w="1154"/>
      </w:tblGrid>
      <w:tr w:rsidR="00105A54">
        <w:tblPrEx>
          <w:tblCellMar>
            <w:top w:w="0" w:type="dxa"/>
            <w:bottom w:w="0" w:type="dxa"/>
          </w:tblCellMar>
        </w:tblPrEx>
        <w:tc>
          <w:tcPr>
            <w:tcW w:w="2000" w:type="dxa"/>
          </w:tcPr>
          <w:p w:rsidR="00105A54" w:rsidRDefault="00105A54"/>
          <w:p w:rsidR="00105A54" w:rsidRDefault="001A1081">
            <w:pPr>
              <w:spacing w:after="0"/>
              <w:jc w:val="center"/>
            </w:pPr>
            <w:r>
              <w:rPr>
                <w:rFonts w:ascii="Times New Roman" w:eastAsia="Times New Roman" w:hAnsi="Times New Roman" w:cs="Times New Roman"/>
                <w:b/>
                <w:sz w:val="26"/>
              </w:rPr>
              <w:t>Số ký hiệu</w:t>
            </w:r>
          </w:p>
        </w:tc>
        <w:tc>
          <w:tcPr>
            <w:tcW w:w="3500" w:type="dxa"/>
          </w:tcPr>
          <w:p w:rsidR="00105A54" w:rsidRDefault="00105A54"/>
          <w:p w:rsidR="00105A54" w:rsidRDefault="001A1081">
            <w:pPr>
              <w:spacing w:after="0"/>
              <w:jc w:val="center"/>
            </w:pPr>
            <w:r>
              <w:rPr>
                <w:rFonts w:ascii="Times New Roman" w:eastAsia="Times New Roman" w:hAnsi="Times New Roman" w:cs="Times New Roman"/>
                <w:b/>
                <w:sz w:val="26"/>
              </w:rPr>
              <w:t>Trích yếu</w:t>
            </w:r>
          </w:p>
        </w:tc>
        <w:tc>
          <w:tcPr>
            <w:tcW w:w="1500" w:type="dxa"/>
          </w:tcPr>
          <w:p w:rsidR="00105A54" w:rsidRDefault="00105A54"/>
          <w:p w:rsidR="00105A54" w:rsidRDefault="001A1081">
            <w:pPr>
              <w:spacing w:after="0"/>
              <w:jc w:val="center"/>
            </w:pPr>
            <w:r>
              <w:rPr>
                <w:rFonts w:ascii="Times New Roman" w:eastAsia="Times New Roman" w:hAnsi="Times New Roman" w:cs="Times New Roman"/>
                <w:b/>
                <w:sz w:val="26"/>
              </w:rPr>
              <w:t>Ngày ban hành</w:t>
            </w:r>
          </w:p>
        </w:tc>
        <w:tc>
          <w:tcPr>
            <w:tcW w:w="3000" w:type="dxa"/>
          </w:tcPr>
          <w:p w:rsidR="00105A54" w:rsidRDefault="00105A54"/>
          <w:p w:rsidR="00105A54" w:rsidRDefault="001A1081">
            <w:pPr>
              <w:spacing w:after="0"/>
              <w:jc w:val="center"/>
            </w:pPr>
            <w:r>
              <w:rPr>
                <w:rFonts w:ascii="Times New Roman" w:eastAsia="Times New Roman" w:hAnsi="Times New Roman" w:cs="Times New Roman"/>
                <w:b/>
                <w:sz w:val="26"/>
              </w:rPr>
              <w:t>Cơ quan ban hành</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lastRenderedPageBreak/>
              <w:t>04/2012/UBTVQH13</w:t>
            </w:r>
          </w:p>
        </w:tc>
        <w:tc>
          <w:tcPr>
            <w:tcW w:w="0" w:type="auto"/>
          </w:tcPr>
          <w:p w:rsidR="00105A54" w:rsidRDefault="00105A54"/>
          <w:p w:rsidR="00105A54" w:rsidRDefault="001A1081">
            <w:pPr>
              <w:spacing w:after="0"/>
            </w:pPr>
            <w:r>
              <w:rPr>
                <w:rFonts w:ascii="Times New Roman" w:eastAsia="Times New Roman" w:hAnsi="Times New Roman" w:cs="Times New Roman"/>
                <w:sz w:val="26"/>
              </w:rPr>
              <w:lastRenderedPageBreak/>
              <w:t xml:space="preserve">Pháp lệnh </w:t>
            </w:r>
            <w:r>
              <w:rPr>
                <w:rFonts w:ascii="Times New Roman" w:eastAsia="Times New Roman" w:hAnsi="Times New Roman" w:cs="Times New Roman"/>
                <w:sz w:val="26"/>
              </w:rPr>
              <w:t>04/2012/UBTVQH13 - Sửa đổi, bổ sung một số điều của Pháp lệnh ưu đãi người có công với cách mạng</w:t>
            </w:r>
          </w:p>
        </w:tc>
        <w:tc>
          <w:tcPr>
            <w:tcW w:w="0" w:type="auto"/>
          </w:tcPr>
          <w:p w:rsidR="00105A54" w:rsidRDefault="00105A54"/>
          <w:p w:rsidR="00105A54" w:rsidRDefault="001A1081">
            <w:pPr>
              <w:spacing w:after="0"/>
            </w:pPr>
            <w:r>
              <w:rPr>
                <w:rFonts w:ascii="Times New Roman" w:eastAsia="Times New Roman" w:hAnsi="Times New Roman" w:cs="Times New Roman"/>
                <w:sz w:val="26"/>
              </w:rPr>
              <w:lastRenderedPageBreak/>
              <w:t>16-07-2012</w:t>
            </w:r>
          </w:p>
        </w:tc>
        <w:tc>
          <w:tcPr>
            <w:tcW w:w="0" w:type="auto"/>
          </w:tcPr>
          <w:p w:rsidR="00105A54" w:rsidRDefault="00105A54"/>
          <w:p w:rsidR="00105A54" w:rsidRDefault="001A1081">
            <w:pPr>
              <w:spacing w:after="0"/>
            </w:pPr>
            <w:r>
              <w:rPr>
                <w:rFonts w:ascii="Times New Roman" w:eastAsia="Times New Roman" w:hAnsi="Times New Roman" w:cs="Times New Roman"/>
                <w:sz w:val="26"/>
              </w:rPr>
              <w:lastRenderedPageBreak/>
              <w:t>Ủy ban thường vụ quốc hội</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31/2013/NĐ-CP</w:t>
            </w:r>
          </w:p>
        </w:tc>
        <w:tc>
          <w:tcPr>
            <w:tcW w:w="0" w:type="auto"/>
          </w:tcPr>
          <w:p w:rsidR="00105A54" w:rsidRDefault="00105A54"/>
          <w:p w:rsidR="00105A54" w:rsidRDefault="001A1081">
            <w:pPr>
              <w:spacing w:after="0"/>
            </w:pPr>
            <w:r>
              <w:rPr>
                <w:rFonts w:ascii="Times New Roman" w:eastAsia="Times New Roman" w:hAnsi="Times New Roman" w:cs="Times New Roman"/>
                <w:sz w:val="26"/>
              </w:rPr>
              <w:t>Nghị định 31/2013/NĐ-CP - Hướng dẫn Pháp lệnh ưu đãi người có công với cách mạng</w:t>
            </w:r>
          </w:p>
        </w:tc>
        <w:tc>
          <w:tcPr>
            <w:tcW w:w="0" w:type="auto"/>
          </w:tcPr>
          <w:p w:rsidR="00105A54" w:rsidRDefault="00105A54"/>
          <w:p w:rsidR="00105A54" w:rsidRDefault="001A1081">
            <w:pPr>
              <w:spacing w:after="0"/>
            </w:pPr>
            <w:r>
              <w:rPr>
                <w:rFonts w:ascii="Times New Roman" w:eastAsia="Times New Roman" w:hAnsi="Times New Roman" w:cs="Times New Roman"/>
                <w:sz w:val="26"/>
              </w:rPr>
              <w:t>09-04-2013</w:t>
            </w:r>
          </w:p>
        </w:tc>
        <w:tc>
          <w:tcPr>
            <w:tcW w:w="0" w:type="auto"/>
          </w:tcPr>
          <w:p w:rsidR="00105A54" w:rsidRDefault="00105A54"/>
          <w:p w:rsidR="00105A54" w:rsidRDefault="001A1081">
            <w:pPr>
              <w:spacing w:after="0"/>
            </w:pPr>
            <w:r>
              <w:rPr>
                <w:rFonts w:ascii="Times New Roman" w:eastAsia="Times New Roman" w:hAnsi="Times New Roman" w:cs="Times New Roman"/>
                <w:sz w:val="26"/>
              </w:rPr>
              <w:t>Chính phủ</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40/2011/QĐ-TTg</w:t>
            </w:r>
          </w:p>
        </w:tc>
        <w:tc>
          <w:tcPr>
            <w:tcW w:w="0" w:type="auto"/>
          </w:tcPr>
          <w:p w:rsidR="00105A54" w:rsidRDefault="00105A54"/>
          <w:p w:rsidR="00105A54" w:rsidRDefault="001A1081">
            <w:pPr>
              <w:spacing w:after="0"/>
            </w:pPr>
            <w:r>
              <w:rPr>
                <w:rFonts w:ascii="Times New Roman" w:eastAsia="Times New Roman" w:hAnsi="Times New Roman" w:cs="Times New Roman"/>
                <w:sz w:val="26"/>
              </w:rPr>
              <w:t>Quyết định 40/2011/QĐ-TTg - Quy định về chế độ đối với thanh niên xung phong đã hoàn thành nhiệm vụ trong kháng chiến</w:t>
            </w:r>
          </w:p>
        </w:tc>
        <w:tc>
          <w:tcPr>
            <w:tcW w:w="0" w:type="auto"/>
          </w:tcPr>
          <w:p w:rsidR="00105A54" w:rsidRDefault="00105A54"/>
          <w:p w:rsidR="00105A54" w:rsidRDefault="001A1081">
            <w:pPr>
              <w:spacing w:after="0"/>
            </w:pPr>
            <w:r>
              <w:rPr>
                <w:rFonts w:ascii="Times New Roman" w:eastAsia="Times New Roman" w:hAnsi="Times New Roman" w:cs="Times New Roman"/>
                <w:sz w:val="26"/>
              </w:rPr>
              <w:t>27-07-2011</w:t>
            </w:r>
          </w:p>
        </w:tc>
        <w:tc>
          <w:tcPr>
            <w:tcW w:w="0" w:type="auto"/>
          </w:tcPr>
          <w:p w:rsidR="00105A54" w:rsidRDefault="00105A54"/>
          <w:p w:rsidR="00105A54" w:rsidRDefault="001A1081">
            <w:pPr>
              <w:spacing w:after="0"/>
            </w:pPr>
            <w:r>
              <w:rPr>
                <w:rFonts w:ascii="Times New Roman" w:eastAsia="Times New Roman" w:hAnsi="Times New Roman" w:cs="Times New Roman"/>
                <w:sz w:val="26"/>
              </w:rPr>
              <w:t>Thủ tướng Chính phủ</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08/2012/TTLT-BLĐTBXH-BNV-BTC</w:t>
            </w:r>
          </w:p>
        </w:tc>
        <w:tc>
          <w:tcPr>
            <w:tcW w:w="0" w:type="auto"/>
          </w:tcPr>
          <w:p w:rsidR="00105A54" w:rsidRDefault="00105A54"/>
          <w:p w:rsidR="00105A54" w:rsidRDefault="001A1081">
            <w:pPr>
              <w:spacing w:after="0"/>
            </w:pPr>
            <w:r>
              <w:rPr>
                <w:rFonts w:ascii="Times New Roman" w:eastAsia="Times New Roman" w:hAnsi="Times New Roman" w:cs="Times New Roman"/>
                <w:sz w:val="26"/>
              </w:rPr>
              <w:t xml:space="preserve">Thông tư liên tịch 08/2012/TTLT-BLĐTBXH-BNV-BTC - </w:t>
            </w:r>
            <w:r>
              <w:rPr>
                <w:rFonts w:ascii="Times New Roman" w:eastAsia="Times New Roman" w:hAnsi="Times New Roman" w:cs="Times New Roman"/>
                <w:sz w:val="26"/>
              </w:rPr>
              <w:t>Hướng dẫn thực hiện chế độ trợ cấp đối với thanh niên xung phong đã hoàn thành nhiệm vụ trong kháng chiến theo Quyết định số 40/2011/QĐ-TTg ngày 27 tháng 7 năm 2011 của Thủ tướng Chính phủ</w:t>
            </w:r>
          </w:p>
        </w:tc>
        <w:tc>
          <w:tcPr>
            <w:tcW w:w="0" w:type="auto"/>
          </w:tcPr>
          <w:p w:rsidR="00105A54" w:rsidRDefault="00105A54"/>
          <w:p w:rsidR="00105A54" w:rsidRDefault="001A1081">
            <w:pPr>
              <w:spacing w:after="0"/>
            </w:pPr>
            <w:r>
              <w:rPr>
                <w:rFonts w:ascii="Times New Roman" w:eastAsia="Times New Roman" w:hAnsi="Times New Roman" w:cs="Times New Roman"/>
                <w:sz w:val="26"/>
              </w:rPr>
              <w:t>16-04-2012</w:t>
            </w:r>
          </w:p>
        </w:tc>
        <w:tc>
          <w:tcPr>
            <w:tcW w:w="0" w:type="auto"/>
          </w:tcPr>
          <w:p w:rsidR="00105A54" w:rsidRDefault="00105A54"/>
          <w:p w:rsidR="00105A54" w:rsidRDefault="001A1081">
            <w:pPr>
              <w:spacing w:after="0"/>
            </w:pPr>
            <w:r>
              <w:rPr>
                <w:rFonts w:ascii="Times New Roman" w:eastAsia="Times New Roman" w:hAnsi="Times New Roman" w:cs="Times New Roman"/>
                <w:sz w:val="26"/>
              </w:rPr>
              <w:t>Bộ Lao động - Thương binh và Xã hội</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190/2025/NQ-QH15</w:t>
            </w:r>
          </w:p>
        </w:tc>
        <w:tc>
          <w:tcPr>
            <w:tcW w:w="0" w:type="auto"/>
          </w:tcPr>
          <w:p w:rsidR="00105A54" w:rsidRDefault="00105A54"/>
          <w:p w:rsidR="00105A54" w:rsidRDefault="001A1081">
            <w:pPr>
              <w:spacing w:after="0"/>
            </w:pPr>
            <w:r>
              <w:rPr>
                <w:rFonts w:ascii="Times New Roman" w:eastAsia="Times New Roman" w:hAnsi="Times New Roman" w:cs="Times New Roman"/>
                <w:sz w:val="26"/>
              </w:rPr>
              <w:t>Nghị quyết số 190/2025/QH15 của Quốc hội: Quy định về xử lý một số vấn đề liên quan đến sắp xếp tổ chức bộ máy nhà nước</w:t>
            </w:r>
          </w:p>
        </w:tc>
        <w:tc>
          <w:tcPr>
            <w:tcW w:w="0" w:type="auto"/>
          </w:tcPr>
          <w:p w:rsidR="00105A54" w:rsidRDefault="00105A54"/>
          <w:p w:rsidR="00105A54" w:rsidRDefault="001A1081">
            <w:pPr>
              <w:spacing w:after="0"/>
            </w:pPr>
            <w:r>
              <w:rPr>
                <w:rFonts w:ascii="Times New Roman" w:eastAsia="Times New Roman" w:hAnsi="Times New Roman" w:cs="Times New Roman"/>
                <w:sz w:val="26"/>
              </w:rPr>
              <w:t>19-02-2025</w:t>
            </w:r>
          </w:p>
        </w:tc>
        <w:tc>
          <w:tcPr>
            <w:tcW w:w="0" w:type="auto"/>
          </w:tcPr>
          <w:p w:rsidR="00105A54" w:rsidRDefault="00105A54"/>
          <w:p w:rsidR="00105A54" w:rsidRDefault="001A1081">
            <w:pPr>
              <w:spacing w:after="0"/>
            </w:pPr>
            <w:r>
              <w:rPr>
                <w:rFonts w:ascii="Times New Roman" w:eastAsia="Times New Roman" w:hAnsi="Times New Roman" w:cs="Times New Roman"/>
                <w:sz w:val="26"/>
              </w:rPr>
              <w:t>Quốc Hội</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08/2023/TT-BLĐTBXH</w:t>
            </w:r>
          </w:p>
        </w:tc>
        <w:tc>
          <w:tcPr>
            <w:tcW w:w="0" w:type="auto"/>
          </w:tcPr>
          <w:p w:rsidR="00105A54" w:rsidRDefault="00105A54"/>
          <w:p w:rsidR="00105A54" w:rsidRDefault="001A1081">
            <w:pPr>
              <w:spacing w:after="0"/>
            </w:pPr>
            <w:r>
              <w:rPr>
                <w:rFonts w:ascii="Times New Roman" w:eastAsia="Times New Roman" w:hAnsi="Times New Roman" w:cs="Times New Roman"/>
                <w:sz w:val="26"/>
              </w:rPr>
              <w:t>Sửa đổi, bổ sung, bãi bỏ một số điều của các Thông tư, Thông tư liên tịch có quy định liên</w:t>
            </w:r>
            <w:r>
              <w:rPr>
                <w:rFonts w:ascii="Times New Roman" w:eastAsia="Times New Roman" w:hAnsi="Times New Roman" w:cs="Times New Roman"/>
                <w:sz w:val="26"/>
              </w:rPr>
              <w:t xml:space="preserve">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tc>
        <w:tc>
          <w:tcPr>
            <w:tcW w:w="0" w:type="auto"/>
          </w:tcPr>
          <w:p w:rsidR="00105A54" w:rsidRDefault="00105A54"/>
          <w:p w:rsidR="00105A54" w:rsidRDefault="001A1081">
            <w:pPr>
              <w:spacing w:after="0"/>
            </w:pPr>
            <w:r>
              <w:rPr>
                <w:rFonts w:ascii="Times New Roman" w:eastAsia="Times New Roman" w:hAnsi="Times New Roman" w:cs="Times New Roman"/>
                <w:sz w:val="26"/>
              </w:rPr>
              <w:t>29-08-2023</w:t>
            </w:r>
          </w:p>
        </w:tc>
        <w:tc>
          <w:tcPr>
            <w:tcW w:w="0" w:type="auto"/>
          </w:tcPr>
          <w:p w:rsidR="00105A54" w:rsidRDefault="00105A54"/>
          <w:p w:rsidR="00105A54" w:rsidRDefault="001A1081">
            <w:pPr>
              <w:spacing w:after="0"/>
            </w:pPr>
            <w:r>
              <w:rPr>
                <w:rFonts w:ascii="Times New Roman" w:eastAsia="Times New Roman" w:hAnsi="Times New Roman" w:cs="Times New Roman"/>
                <w:sz w:val="26"/>
              </w:rPr>
              <w:t xml:space="preserve">Bộ Lao động - Thương binh và </w:t>
            </w:r>
            <w:r>
              <w:rPr>
                <w:rFonts w:ascii="Times New Roman" w:eastAsia="Times New Roman" w:hAnsi="Times New Roman" w:cs="Times New Roman"/>
                <w:sz w:val="26"/>
              </w:rPr>
              <w:t>Xã hội</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Nghị định số 25/2025/NĐ-CP</w:t>
            </w:r>
          </w:p>
        </w:tc>
        <w:tc>
          <w:tcPr>
            <w:tcW w:w="0" w:type="auto"/>
          </w:tcPr>
          <w:p w:rsidR="00105A54" w:rsidRDefault="00105A54"/>
          <w:p w:rsidR="00105A54" w:rsidRDefault="001A1081">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105A54" w:rsidRDefault="00105A54"/>
          <w:p w:rsidR="00105A54" w:rsidRDefault="001A1081">
            <w:pPr>
              <w:spacing w:after="0"/>
            </w:pPr>
            <w:r>
              <w:rPr>
                <w:rFonts w:ascii="Times New Roman" w:eastAsia="Times New Roman" w:hAnsi="Times New Roman" w:cs="Times New Roman"/>
                <w:sz w:val="26"/>
              </w:rPr>
              <w:t>21-02-2025</w:t>
            </w:r>
          </w:p>
        </w:tc>
        <w:tc>
          <w:tcPr>
            <w:tcW w:w="0" w:type="auto"/>
          </w:tcPr>
          <w:p w:rsidR="00105A54" w:rsidRDefault="00105A54"/>
          <w:p w:rsidR="00105A54" w:rsidRDefault="001A1081">
            <w:pPr>
              <w:spacing w:after="0"/>
            </w:pPr>
            <w:r>
              <w:rPr>
                <w:rFonts w:ascii="Times New Roman" w:eastAsia="Times New Roman" w:hAnsi="Times New Roman" w:cs="Times New Roman"/>
                <w:sz w:val="26"/>
              </w:rPr>
              <w:t>Chính phủ</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lastRenderedPageBreak/>
              <w:t>45/2025/NĐ-CP</w:t>
            </w:r>
          </w:p>
        </w:tc>
        <w:tc>
          <w:tcPr>
            <w:tcW w:w="0" w:type="auto"/>
          </w:tcPr>
          <w:p w:rsidR="00105A54" w:rsidRDefault="00105A54"/>
          <w:p w:rsidR="00105A54" w:rsidRDefault="001A1081">
            <w:pPr>
              <w:spacing w:after="0"/>
            </w:pPr>
            <w:r>
              <w:rPr>
                <w:rFonts w:ascii="Times New Roman" w:eastAsia="Times New Roman" w:hAnsi="Times New Roman" w:cs="Times New Roman"/>
                <w:sz w:val="26"/>
              </w:rPr>
              <w:lastRenderedPageBreak/>
              <w:t xml:space="preserve">Nghị định số 45/2025/NĐ-CP của Chính </w:t>
            </w:r>
            <w:r>
              <w:rPr>
                <w:rFonts w:ascii="Times New Roman" w:eastAsia="Times New Roman" w:hAnsi="Times New Roman" w:cs="Times New Roman"/>
                <w:sz w:val="26"/>
              </w:rPr>
              <w:t>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105A54" w:rsidRDefault="00105A54"/>
          <w:p w:rsidR="00105A54" w:rsidRDefault="001A1081">
            <w:pPr>
              <w:spacing w:after="0"/>
            </w:pPr>
            <w:r>
              <w:rPr>
                <w:rFonts w:ascii="Times New Roman" w:eastAsia="Times New Roman" w:hAnsi="Times New Roman" w:cs="Times New Roman"/>
                <w:sz w:val="26"/>
              </w:rPr>
              <w:lastRenderedPageBreak/>
              <w:t>28-02-2025</w:t>
            </w:r>
          </w:p>
        </w:tc>
        <w:tc>
          <w:tcPr>
            <w:tcW w:w="0" w:type="auto"/>
          </w:tcPr>
          <w:p w:rsidR="00105A54" w:rsidRDefault="00105A54"/>
          <w:p w:rsidR="00105A54" w:rsidRDefault="001A1081">
            <w:pPr>
              <w:spacing w:after="0"/>
            </w:pPr>
            <w:r>
              <w:rPr>
                <w:rFonts w:ascii="Times New Roman" w:eastAsia="Times New Roman" w:hAnsi="Times New Roman" w:cs="Times New Roman"/>
                <w:sz w:val="26"/>
              </w:rPr>
              <w:lastRenderedPageBreak/>
              <w:t>Chính phủ</w:t>
            </w:r>
          </w:p>
        </w:tc>
      </w:tr>
      <w:tr w:rsidR="00105A54">
        <w:tblPrEx>
          <w:tblCellMar>
            <w:top w:w="0" w:type="dxa"/>
            <w:bottom w:w="0" w:type="dxa"/>
          </w:tblCellMar>
        </w:tblPrEx>
        <w:tc>
          <w:tcPr>
            <w:tcW w:w="0" w:type="auto"/>
          </w:tcPr>
          <w:p w:rsidR="00105A54" w:rsidRDefault="00105A54"/>
          <w:p w:rsidR="00105A54" w:rsidRDefault="001A1081">
            <w:pPr>
              <w:spacing w:after="0"/>
            </w:pPr>
            <w:r>
              <w:rPr>
                <w:rFonts w:ascii="Times New Roman" w:eastAsia="Times New Roman" w:hAnsi="Times New Roman" w:cs="Times New Roman"/>
                <w:sz w:val="26"/>
              </w:rPr>
              <w:t>129/2025/NĐ-CP</w:t>
            </w:r>
          </w:p>
        </w:tc>
        <w:tc>
          <w:tcPr>
            <w:tcW w:w="0" w:type="auto"/>
          </w:tcPr>
          <w:p w:rsidR="00105A54" w:rsidRDefault="00105A54"/>
          <w:p w:rsidR="00105A54" w:rsidRDefault="001A1081">
            <w:pPr>
              <w:spacing w:after="0"/>
            </w:pPr>
            <w:r>
              <w:rPr>
                <w:rFonts w:ascii="Times New Roman" w:eastAsia="Times New Roman" w:hAnsi="Times New Roman" w:cs="Times New Roman"/>
                <w:sz w:val="26"/>
              </w:rPr>
              <w:t>Quy định về phân định thẩm quyền của chính quyền địa phương 02 cấp trong lĩnh vực quản lý nhà nước của Bộ Nội vụ</w:t>
            </w:r>
          </w:p>
        </w:tc>
        <w:tc>
          <w:tcPr>
            <w:tcW w:w="0" w:type="auto"/>
          </w:tcPr>
          <w:p w:rsidR="00105A54" w:rsidRDefault="00105A54"/>
          <w:p w:rsidR="00105A54" w:rsidRDefault="001A1081">
            <w:pPr>
              <w:spacing w:after="0"/>
            </w:pPr>
            <w:r>
              <w:rPr>
                <w:rFonts w:ascii="Times New Roman" w:eastAsia="Times New Roman" w:hAnsi="Times New Roman" w:cs="Times New Roman"/>
                <w:sz w:val="26"/>
              </w:rPr>
              <w:t>11-06-2025</w:t>
            </w:r>
          </w:p>
        </w:tc>
        <w:tc>
          <w:tcPr>
            <w:tcW w:w="0" w:type="auto"/>
          </w:tcPr>
          <w:p w:rsidR="00105A54" w:rsidRDefault="00105A54"/>
          <w:p w:rsidR="00105A54" w:rsidRDefault="001A1081">
            <w:pPr>
              <w:spacing w:after="0"/>
            </w:pPr>
            <w:r>
              <w:rPr>
                <w:rFonts w:ascii="Times New Roman" w:eastAsia="Times New Roman" w:hAnsi="Times New Roman" w:cs="Times New Roman"/>
                <w:sz w:val="26"/>
              </w:rPr>
              <w:t>Chính phủ</w:t>
            </w:r>
          </w:p>
        </w:tc>
      </w:tr>
    </w:tbl>
    <w:p w:rsidR="00105A54" w:rsidRDefault="001A1081">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w:t>
      </w:r>
    </w:p>
    <w:p w:rsidR="00105A54" w:rsidRDefault="001A1081">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105A54" w:rsidRDefault="001A1081">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105A54">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54"/>
    <w:rsid w:val="00105A54"/>
    <w:rsid w:val="001A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6270</Characters>
  <Application>Microsoft Office Word</Application>
  <DocSecurity>0</DocSecurity>
  <Lines>52</Lines>
  <Paragraphs>14</Paragraphs>
  <ScaleCrop>false</ScaleCrop>
  <Company>home</Company>
  <LinksUpToDate>false</LinksUpToDate>
  <CharactersWithSpaces>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2026-03-20T02:59:00Z</dcterms:created>
  <dcterms:modified xsi:type="dcterms:W3CDTF">2026-03-20T02:59:00Z</dcterms:modified>
</cp:coreProperties>
</file>