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212" w:type="dxa"/>
        <w:tblInd w:w="-1168" w:type="dxa"/>
        <w:tblLook w:val="01E0" w:firstRow="1" w:lastRow="1" w:firstColumn="1" w:lastColumn="1" w:noHBand="0" w:noVBand="0"/>
      </w:tblPr>
      <w:tblGrid>
        <w:gridCol w:w="4996"/>
        <w:gridCol w:w="6216"/>
      </w:tblGrid>
      <w:tr>
        <w:tc>
          <w:tcPr>
            <w:tcW w:w="4996" w:type="dxa"/>
          </w:tcPr>
          <w:p>
            <w:pPr>
              <w:spacing w:after="0" w:line="240" w:lineRule="auto"/>
              <w:jc w:val="center"/>
              <w:rPr>
                <w:rFonts w:cs="Times New Roman"/>
                <w:sz w:val="26"/>
                <w:szCs w:val="26"/>
              </w:rPr>
            </w:pPr>
            <w:r>
              <w:rPr>
                <w:rFonts w:cs="Times New Roman"/>
                <w:sz w:val="26"/>
                <w:szCs w:val="26"/>
              </w:rPr>
              <w:t>UBND TỈNH ĐIỆN BIÊN</w:t>
            </w:r>
          </w:p>
          <w:p>
            <w:pPr>
              <w:spacing w:after="0" w:line="240" w:lineRule="auto"/>
              <w:jc w:val="center"/>
              <w:rPr>
                <w:rFonts w:cs="Times New Roman"/>
                <w:b/>
                <w:sz w:val="26"/>
                <w:szCs w:val="26"/>
              </w:rPr>
            </w:pPr>
            <w:r>
              <w:rPr>
                <w:rFonts w:cs="Times New Roman"/>
                <w:b/>
                <w:sz w:val="26"/>
                <w:szCs w:val="26"/>
              </w:rPr>
              <w:t>HỘI ĐỒNG PHỐI HỢP</w:t>
            </w:r>
          </w:p>
          <w:p>
            <w:pPr>
              <w:spacing w:after="0" w:line="240" w:lineRule="auto"/>
              <w:jc w:val="center"/>
              <w:rPr>
                <w:rFonts w:cs="Times New Roman"/>
                <w:b/>
                <w:sz w:val="26"/>
                <w:szCs w:val="26"/>
              </w:rPr>
            </w:pPr>
            <w:r>
              <w:rPr>
                <w:rFonts w:cs="Times New Roman"/>
                <w:b/>
                <w:sz w:val="26"/>
                <w:szCs w:val="26"/>
              </w:rPr>
              <w:t>PHỔ BIẾN, GIÁO DỤC PHÁP LUẬT</w:t>
            </w:r>
          </w:p>
          <w:p>
            <w:pPr>
              <w:spacing w:after="0" w:line="240" w:lineRule="auto"/>
              <w:jc w:val="center"/>
              <w:rPr>
                <w:rFonts w:cs="Times New Roman"/>
                <w:szCs w:val="28"/>
              </w:rPr>
            </w:pPr>
            <w:r>
              <w:rPr>
                <w:rFonts w:cs="Times New Roman"/>
                <w:b/>
                <w:noProof/>
                <w:szCs w:val="28"/>
                <w:lang w:val="en-US"/>
              </w:rPr>
              <mc:AlternateContent>
                <mc:Choice Requires="wps">
                  <w:drawing>
                    <wp:anchor distT="0" distB="0" distL="114300" distR="114300" simplePos="0" relativeHeight="251661312" behindDoc="0" locked="0" layoutInCell="1" allowOverlap="1">
                      <wp:simplePos x="0" y="0"/>
                      <wp:positionH relativeFrom="column">
                        <wp:posOffset>1045210</wp:posOffset>
                      </wp:positionH>
                      <wp:positionV relativeFrom="paragraph">
                        <wp:posOffset>34925</wp:posOffset>
                      </wp:positionV>
                      <wp:extent cx="733425" cy="0"/>
                      <wp:effectExtent l="6985" t="6350" r="12065" b="12700"/>
                      <wp:wrapNone/>
                      <wp:docPr id="2064561615"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33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xmlns:w16du="http://schemas.microsoft.com/office/word/2023/wordml/word16du" xmlns:w16sdtfl="http://schemas.microsoft.com/office/word/2024/wordml/sdtformatlock">
                  <w:pict>
                    <v:line w14:anchorId="75D1D584" id="Straight Connector 7"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2.3pt,2.75pt" to="140.0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"/>
                  </w:pict>
                </mc:Fallback>
              </mc:AlternateContent>
            </w:r>
          </w:p>
          <w:p>
            <w:pPr>
              <w:spacing w:after="0" w:line="240" w:lineRule="auto"/>
              <w:jc w:val="center"/>
              <w:rPr>
                <w:rFonts w:cs="Times New Roman"/>
                <w:szCs w:val="28"/>
              </w:rPr>
            </w:pPr>
          </w:p>
        </w:tc>
        <w:tc>
          <w:tcPr>
            <w:tcW w:w="6216" w:type="dxa"/>
          </w:tcPr>
          <w:p>
            <w:pPr>
              <w:spacing w:after="0" w:line="240" w:lineRule="auto"/>
              <w:jc w:val="center"/>
              <w:rPr>
                <w:rFonts w:cs="Times New Roman"/>
                <w:b/>
                <w:sz w:val="26"/>
                <w:szCs w:val="26"/>
              </w:rPr>
            </w:pPr>
            <w:r>
              <w:rPr>
                <w:rFonts w:cs="Times New Roman"/>
                <w:b/>
                <w:sz w:val="26"/>
                <w:szCs w:val="26"/>
              </w:rPr>
              <w:t>CỘNG HÒA XÃ HỘI CHỦ NGHĨA VIỆT NAM</w:t>
            </w:r>
          </w:p>
          <w:p>
            <w:pPr>
              <w:spacing w:after="0" w:line="240" w:lineRule="auto"/>
              <w:jc w:val="center"/>
              <w:rPr>
                <w:rFonts w:cs="Times New Roman"/>
                <w:b/>
                <w:szCs w:val="28"/>
              </w:rPr>
            </w:pPr>
            <w:r>
              <w:rPr>
                <w:rFonts w:cs="Times New Roman"/>
                <w:b/>
                <w:szCs w:val="28"/>
              </w:rPr>
              <w:t xml:space="preserve">Độc lập </w:t>
            </w:r>
            <w:r>
              <w:rPr>
                <w:rFonts w:cs="Times New Roman"/>
                <w:szCs w:val="28"/>
              </w:rPr>
              <w:t>-</w:t>
            </w:r>
            <w:r>
              <w:rPr>
                <w:rFonts w:cs="Times New Roman"/>
                <w:b/>
                <w:szCs w:val="28"/>
              </w:rPr>
              <w:t xml:space="preserve"> Tự do </w:t>
            </w:r>
            <w:r>
              <w:rPr>
                <w:rFonts w:cs="Times New Roman"/>
                <w:szCs w:val="28"/>
              </w:rPr>
              <w:t>-</w:t>
            </w:r>
            <w:r>
              <w:rPr>
                <w:rFonts w:cs="Times New Roman"/>
                <w:b/>
                <w:szCs w:val="28"/>
              </w:rPr>
              <w:t xml:space="preserve"> Hạnh phúc</w:t>
            </w:r>
          </w:p>
          <w:p>
            <w:pPr>
              <w:spacing w:after="0" w:line="240" w:lineRule="auto"/>
              <w:jc w:val="center"/>
              <w:rPr>
                <w:rFonts w:cs="Times New Roman"/>
                <w:szCs w:val="28"/>
              </w:rPr>
            </w:pPr>
            <w:r>
              <w:rPr>
                <w:rFonts w:cs="Times New Roman"/>
                <w:noProof/>
                <w:szCs w:val="28"/>
                <w:lang w:val="en-US"/>
              </w:rPr>
              <mc:AlternateContent>
                <mc:Choice Requires="wps">
                  <w:drawing>
                    <wp:anchor distT="0" distB="0" distL="114300" distR="114300" simplePos="0" relativeHeight="251664384" behindDoc="0" locked="0" layoutInCell="1" allowOverlap="1">
                      <wp:simplePos x="0" y="0"/>
                      <wp:positionH relativeFrom="column">
                        <wp:posOffset>829945</wp:posOffset>
                      </wp:positionH>
                      <wp:positionV relativeFrom="paragraph">
                        <wp:posOffset>16510</wp:posOffset>
                      </wp:positionV>
                      <wp:extent cx="2181225" cy="0"/>
                      <wp:effectExtent l="0" t="0" r="0" b="0"/>
                      <wp:wrapNone/>
                      <wp:docPr id="569690823"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1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xmlns:w16du="http://schemas.microsoft.com/office/word/2023/wordml/word16du" xmlns:w16sdtfl="http://schemas.microsoft.com/office/word/2024/wordml/sdtformatlock">
                  <w:pict>
                    <v:line w14:anchorId="26E6E809" id="Straight Connector 6"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35pt,1.3pt" to="237.1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"/>
                  </w:pict>
                </mc:Fallback>
              </mc:AlternateContent>
            </w:r>
          </w:p>
          <w:p>
            <w:pPr>
              <w:spacing w:after="0" w:line="240" w:lineRule="auto"/>
              <w:jc w:val="center"/>
              <w:rPr>
                <w:rFonts w:cs="Times New Roman"/>
                <w:i/>
                <w:szCs w:val="28"/>
              </w:rPr>
            </w:pPr>
          </w:p>
          <w:p>
            <w:pPr>
              <w:spacing w:after="0" w:line="240" w:lineRule="auto"/>
              <w:jc w:val="center"/>
              <w:rPr>
                <w:rFonts w:cs="Times New Roman"/>
                <w:i/>
                <w:szCs w:val="28"/>
              </w:rPr>
            </w:pPr>
          </w:p>
        </w:tc>
      </w:tr>
    </w:tbl>
    <w:p>
      <w:pPr>
        <w:spacing w:after="0" w:line="240" w:lineRule="auto"/>
        <w:ind w:firstLine="709"/>
        <w:jc w:val="center"/>
        <w:rPr>
          <w:rFonts w:asciiTheme="majorHAnsi" w:hAnsiTheme="majorHAnsi" w:cstheme="majorHAnsi"/>
          <w:szCs w:val="28"/>
        </w:rPr>
      </w:pPr>
      <w:r>
        <w:rPr>
          <w:rFonts w:asciiTheme="majorHAnsi" w:hAnsiTheme="majorHAnsi" w:cstheme="majorHAnsi"/>
          <w:b/>
          <w:szCs w:val="28"/>
        </w:rPr>
        <w:t>ĐỀ CƯƠNG GIỚI THIỆU, PHỔ BIẾN</w:t>
      </w:r>
    </w:p>
    <w:p>
      <w:pPr>
        <w:spacing w:after="0" w:line="240" w:lineRule="auto"/>
        <w:ind w:firstLine="709"/>
        <w:jc w:val="center"/>
        <w:rPr>
          <w:rFonts w:asciiTheme="majorHAnsi" w:hAnsiTheme="majorHAnsi" w:cstheme="majorHAnsi"/>
          <w:szCs w:val="28"/>
        </w:rPr>
      </w:pPr>
      <w:r>
        <w:rPr>
          <w:rFonts w:asciiTheme="majorHAnsi" w:hAnsiTheme="majorHAnsi" w:cstheme="majorHAnsi"/>
          <w:b/>
          <w:szCs w:val="28"/>
        </w:rPr>
        <w:t>LUẬT SỬA ĐỔI, BỔ SUNG MỘT SỐ ĐIỀU CỦA</w:t>
      </w:r>
    </w:p>
    <w:p>
      <w:pPr>
        <w:spacing w:after="0" w:line="240" w:lineRule="auto"/>
        <w:ind w:firstLine="709"/>
        <w:jc w:val="center"/>
        <w:rPr>
          <w:rFonts w:asciiTheme="majorHAnsi" w:hAnsiTheme="majorHAnsi" w:cstheme="majorHAnsi"/>
          <w:szCs w:val="28"/>
        </w:rPr>
      </w:pPr>
      <w:r>
        <w:rPr>
          <w:rFonts w:asciiTheme="majorHAnsi" w:hAnsiTheme="majorHAnsi" w:cstheme="majorHAnsi"/>
          <w:b/>
          <w:szCs w:val="28"/>
        </w:rPr>
        <w:t>LUẬT TRỢ GIÚP PHÁP LÝ</w:t>
      </w:r>
      <w:r>
        <w:rPr>
          <w:rFonts w:asciiTheme="majorHAnsi" w:hAnsiTheme="majorHAnsi" w:cstheme="majorHAnsi"/>
          <w:szCs w:val="28"/>
        </w:rPr>
        <w:t xml:space="preserve"> </w:t>
      </w:r>
      <w:r>
        <w:rPr>
          <w:rFonts w:asciiTheme="majorHAnsi" w:hAnsiTheme="majorHAnsi" w:cstheme="majorHAnsi"/>
          <w:b/>
          <w:szCs w:val="28"/>
        </w:rPr>
        <w:t>SỐ 05/2026/QH16</w:t>
      </w:r>
    </w:p>
    <w:p>
      <w:pPr>
        <w:spacing w:after="0" w:line="240" w:lineRule="auto"/>
        <w:ind w:firstLine="709"/>
        <w:jc w:val="center"/>
        <w:rPr>
          <w:rFonts w:asciiTheme="majorHAnsi" w:eastAsia="Times New Roman" w:hAnsiTheme="majorHAnsi" w:cstheme="majorHAnsi"/>
          <w:b/>
          <w:bCs/>
          <w:szCs w:val="28"/>
        </w:rPr>
      </w:pPr>
      <w:r>
        <w:rPr>
          <w:rFonts w:asciiTheme="majorHAnsi" w:hAnsiTheme="majorHAnsi" w:cstheme="majorHAnsi"/>
          <w:noProof/>
          <w:szCs w:val="28"/>
          <w:lang w:val="en-US"/>
        </w:rPr>
        <mc:AlternateContent>
          <mc:Choice Requires="wps">
            <w:drawing>
              <wp:anchor distT="4294967295" distB="4294967295" distL="114300" distR="114300" simplePos="0" relativeHeight="251659264" behindDoc="0" locked="0" layoutInCell="1" allowOverlap="1">
                <wp:simplePos x="0" y="0"/>
                <wp:positionH relativeFrom="column">
                  <wp:posOffset>7429500</wp:posOffset>
                </wp:positionH>
                <wp:positionV relativeFrom="paragraph">
                  <wp:posOffset>-5716</wp:posOffset>
                </wp:positionV>
                <wp:extent cx="2057400" cy="0"/>
                <wp:effectExtent l="0" t="0" r="0" b="0"/>
                <wp:wrapNone/>
                <wp:docPr id="975302158"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xmlns:w16du="http://schemas.microsoft.com/office/word/2023/wordml/word16du" xmlns:w16sdtfl="http://schemas.microsoft.com/office/word/2024/wordml/sdtformatlock">
            <w:pict>
              <v:line w14:anchorId="3D25FDF2" id="Straight Connector 5"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85pt,-.45pt" to="747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"/>
            </w:pict>
          </mc:Fallback>
        </mc:AlternateContent>
      </w:r>
      <w:r>
        <w:rPr>
          <w:rFonts w:asciiTheme="majorHAnsi" w:hAnsiTheme="majorHAnsi" w:cstheme="majorHAnsi"/>
          <w:noProof/>
          <w:szCs w:val="28"/>
          <w:lang w:val="en-US"/>
        </w:rPr>
        <mc:AlternateContent>
          <mc:Choice Requires="wps">
            <w:drawing>
              <wp:anchor distT="4294967295" distB="4294967295" distL="114300" distR="114300" simplePos="0" relativeHeight="251663360" behindDoc="0" locked="0" layoutInCell="1" allowOverlap="1">
                <wp:simplePos x="0" y="0"/>
                <wp:positionH relativeFrom="column">
                  <wp:posOffset>7429500</wp:posOffset>
                </wp:positionH>
                <wp:positionV relativeFrom="paragraph">
                  <wp:posOffset>-5716</wp:posOffset>
                </wp:positionV>
                <wp:extent cx="2057400" cy="0"/>
                <wp:effectExtent l="0" t="0" r="0" b="0"/>
                <wp:wrapNone/>
                <wp:docPr id="1998696731"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xmlns:w16du="http://schemas.microsoft.com/office/word/2023/wordml/word16du" xmlns:w16sdtfl="http://schemas.microsoft.com/office/word/2024/wordml/sdtformatlock">
            <w:pict>
              <v:line w14:anchorId="6C47B51F" id="Straight Connector 5"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85pt,-.45pt" to="747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"/>
            </w:pict>
          </mc:Fallback>
        </mc:AlternateContent>
      </w:r>
      <w:r>
        <w:rPr>
          <w:rFonts w:asciiTheme="majorHAnsi" w:hAnsiTheme="majorHAnsi" w:cstheme="majorHAnsi"/>
          <w:b/>
          <w:i/>
          <w:szCs w:val="28"/>
        </w:rPr>
        <w:t>(Tài liệu dành cho Báo cáo viên pháp luật cấp tỉnh,</w:t>
      </w:r>
    </w:p>
    <w:p>
      <w:pPr>
        <w:spacing w:after="0" w:line="240" w:lineRule="auto"/>
        <w:ind w:firstLine="709"/>
        <w:jc w:val="center"/>
        <w:rPr>
          <w:rFonts w:asciiTheme="majorHAnsi" w:eastAsia="Times New Roman" w:hAnsiTheme="majorHAnsi" w:cstheme="majorHAnsi"/>
          <w:b/>
          <w:bCs/>
          <w:szCs w:val="28"/>
        </w:rPr>
      </w:pPr>
      <w:r>
        <w:rPr>
          <w:rFonts w:asciiTheme="majorHAnsi" w:hAnsiTheme="majorHAnsi" w:cstheme="majorHAnsi"/>
          <w:b/>
          <w:i/>
          <w:szCs w:val="28"/>
        </w:rPr>
        <w:t xml:space="preserve">Tuyên truyền viên pháp luật </w:t>
      </w:r>
      <w:r>
        <w:rPr>
          <w:rFonts w:asciiTheme="majorHAnsi" w:hAnsiTheme="majorHAnsi" w:cstheme="majorHAnsi"/>
          <w:noProof/>
          <w:szCs w:val="28"/>
          <w:lang w:val="en-US"/>
        </w:rPr>
        <mc:AlternateContent>
          <mc:Choice Requires="wps">
            <w:drawing>
              <wp:anchor distT="4294967295" distB="4294967295" distL="114300" distR="114300" simplePos="0" relativeHeight="251662336" behindDoc="0" locked="0" layoutInCell="1" allowOverlap="1">
                <wp:simplePos x="0" y="0"/>
                <wp:positionH relativeFrom="column">
                  <wp:posOffset>7429500</wp:posOffset>
                </wp:positionH>
                <wp:positionV relativeFrom="paragraph">
                  <wp:posOffset>18414</wp:posOffset>
                </wp:positionV>
                <wp:extent cx="914400" cy="0"/>
                <wp:effectExtent l="0" t="0" r="0" b="0"/>
                <wp:wrapNone/>
                <wp:docPr id="1096084519"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xmlns:w16du="http://schemas.microsoft.com/office/word/2023/wordml/word16du" xmlns:w16sdtfl="http://schemas.microsoft.com/office/word/2024/wordml/sdtformatlock">
            <w:pict>
              <v:line w14:anchorId="73B74BAF" id="Straight Connector 3"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85pt,1.45pt" to="657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"/>
            </w:pict>
          </mc:Fallback>
        </mc:AlternateContent>
      </w:r>
      <w:r>
        <w:rPr>
          <w:rFonts w:asciiTheme="majorHAnsi" w:hAnsiTheme="majorHAnsi" w:cstheme="majorHAnsi"/>
          <w:b/>
          <w:i/>
          <w:szCs w:val="28"/>
        </w:rPr>
        <w:t>trên địa bàn tỉnh Điện Biên)</w:t>
      </w:r>
    </w:p>
    <w:p>
      <w:pPr>
        <w:spacing w:before="120" w:after="120" w:line="240" w:lineRule="auto"/>
        <w:ind w:left="885" w:firstLine="709"/>
        <w:jc w:val="both"/>
        <w:rPr>
          <w:rFonts w:asciiTheme="majorHAnsi" w:hAnsiTheme="majorHAnsi" w:cstheme="majorHAnsi"/>
          <w:b/>
          <w:i/>
          <w:szCs w:val="28"/>
        </w:rPr>
      </w:pPr>
      <w:r>
        <w:rPr>
          <w:rFonts w:asciiTheme="majorHAnsi" w:hAnsiTheme="majorHAnsi" w:cstheme="majorHAnsi"/>
          <w:noProof/>
          <w:szCs w:val="28"/>
          <w:lang w:val="en-US"/>
        </w:rPr>
        <mc:AlternateContent>
          <mc:Choice Requires="wps">
            <w:drawing>
              <wp:anchor distT="4294967295" distB="4294967295" distL="114300" distR="114300" simplePos="0" relativeHeight="251660288" behindDoc="0" locked="0" layoutInCell="1" allowOverlap="1">
                <wp:simplePos x="0" y="0"/>
                <wp:positionH relativeFrom="margin">
                  <wp:posOffset>2259414</wp:posOffset>
                </wp:positionH>
                <wp:positionV relativeFrom="paragraph">
                  <wp:posOffset>54362</wp:posOffset>
                </wp:positionV>
                <wp:extent cx="1407132" cy="0"/>
                <wp:effectExtent l="0" t="0" r="22225" b="19050"/>
                <wp:wrapNone/>
                <wp:docPr id="79278239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7132"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xmlns:w16du="http://schemas.microsoft.com/office/word/2023/wordml/word16du" xmlns:w16sdtfl="http://schemas.microsoft.com/office/word/2024/wordml/sdtformatlock">
            <w:pict>
              <v:line w14:anchorId="1432A263" id="Straight Connector 1" o:spid="_x0000_s1026" style="position:absolute;z-index:251660288;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from="177.9pt,4.3pt" to="288.7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">
                <w10:wrap anchorx="margin"/>
              </v:line>
            </w:pict>
          </mc:Fallback>
        </mc:AlternateContent>
      </w:r>
    </w:p>
    <w:p>
      <w:pPr>
        <w:spacing w:before="120" w:after="120" w:line="240" w:lineRule="auto"/>
        <w:ind w:firstLine="720"/>
        <w:jc w:val="both"/>
        <w:rPr>
          <w:rFonts w:asciiTheme="majorHAnsi" w:hAnsiTheme="majorHAnsi" w:cstheme="majorHAnsi"/>
          <w:szCs w:val="28"/>
        </w:rPr>
      </w:pPr>
      <w:bookmarkStart w:id="0" w:name="_GoBack"/>
      <w:r>
        <w:rPr>
          <w:rFonts w:asciiTheme="majorHAnsi" w:hAnsiTheme="majorHAnsi" w:cstheme="majorHAnsi"/>
          <w:szCs w:val="28"/>
        </w:rPr>
        <w:t xml:space="preserve">Luật sửa đổi, bổ sung một số điều của Luật Trợ giúp pháp lý số 05/2026/QH16 được Quốc hội thông qua ngày 23/4/2026, có hiệu lực thi hành kể từ ngày 01/01/2027; sửa đổi, bổ sung một số quy định của Luật Trợ giúp pháp lý số 11/2017/QH14 (đã được sửa đổi, bổ sung theo Luật số 53/2024/QH15 và Luật số 59/2024/QH15), nhằm tiếp tục hoàn thiện thể chế về trợ giúp pháp lý </w:t>
      </w:r>
      <w:r>
        <w:t>(TGPL)</w:t>
      </w:r>
      <w:r>
        <w:rPr>
          <w:rFonts w:asciiTheme="majorHAnsi" w:hAnsiTheme="majorHAnsi" w:cstheme="majorHAnsi"/>
          <w:szCs w:val="28"/>
        </w:rPr>
        <w:t xml:space="preserve">, mở rộng khả năng tiếp cận công lý của người dân và đáp ứng yêu cầu tổ chức chính quyền địa phương hai cấp, cải cách tư pháp, cải cách hành chính và chuyển đổi số. </w:t>
      </w:r>
    </w:p>
    <w:p>
      <w:pPr>
        <w:spacing w:before="120" w:after="120" w:line="240" w:lineRule="auto"/>
        <w:ind w:left="720" w:firstLine="720"/>
        <w:jc w:val="both"/>
        <w:rPr>
          <w:rFonts w:asciiTheme="majorHAnsi" w:hAnsiTheme="majorHAnsi" w:cstheme="majorHAnsi"/>
          <w:b/>
          <w:bCs/>
          <w:szCs w:val="28"/>
          <w:lang w:val="vi-VN"/>
        </w:rPr>
      </w:pPr>
      <w:r>
        <w:rPr>
          <w:rFonts w:asciiTheme="majorHAnsi" w:hAnsiTheme="majorHAnsi" w:cstheme="majorHAnsi"/>
          <w:b/>
          <w:bCs/>
          <w:szCs w:val="28"/>
        </w:rPr>
        <w:t>PHẦN I. NHỮNG VẤN ĐỀ CHUNG</w:t>
      </w:r>
    </w:p>
    <w:p>
      <w:pPr>
        <w:spacing w:before="120" w:after="120" w:line="240" w:lineRule="auto"/>
        <w:ind w:firstLine="720"/>
        <w:jc w:val="both"/>
        <w:rPr>
          <w:rFonts w:asciiTheme="majorHAnsi" w:eastAsia="Times New Roman" w:hAnsiTheme="majorHAnsi" w:cstheme="majorHAnsi"/>
          <w:b/>
          <w:bCs/>
          <w:szCs w:val="28"/>
          <w:lang w:val="vi-VN"/>
        </w:rPr>
      </w:pPr>
      <w:r>
        <w:rPr>
          <w:rFonts w:asciiTheme="majorHAnsi" w:eastAsia="Times New Roman" w:hAnsiTheme="majorHAnsi" w:cstheme="majorHAnsi"/>
          <w:b/>
          <w:bCs/>
          <w:szCs w:val="28"/>
          <w:lang w:val="vi-VN"/>
        </w:rPr>
        <w:t>I. SỰ CẦN THIẾT BAN HÀNH LUẬT</w:t>
      </w:r>
    </w:p>
    <w:p>
      <w:pPr>
        <w:pStyle w:val="Heading3"/>
        <w:spacing w:before="120" w:after="120" w:line="240" w:lineRule="auto"/>
        <w:ind w:firstLine="720"/>
        <w:jc w:val="both"/>
        <w:rPr>
          <w:rFonts w:cstheme="majorHAnsi"/>
          <w:b/>
          <w:color w:val="auto"/>
          <w:sz w:val="28"/>
          <w:szCs w:val="28"/>
          <w:lang w:val="vi-VN"/>
        </w:rPr>
      </w:pPr>
      <w:r>
        <w:rPr>
          <w:rFonts w:cstheme="majorHAnsi"/>
          <w:b/>
          <w:color w:val="auto"/>
          <w:sz w:val="28"/>
          <w:szCs w:val="28"/>
          <w:lang w:val="vi-VN"/>
        </w:rPr>
        <w:t>1. Cơ sở chính trị, pháp lý</w:t>
      </w:r>
    </w:p>
    <w:p>
      <w:pPr>
        <w:spacing w:before="120" w:after="120" w:line="240" w:lineRule="auto"/>
        <w:ind w:firstLine="720"/>
        <w:jc w:val="both"/>
        <w:rPr>
          <w:rFonts w:asciiTheme="majorHAnsi" w:hAnsiTheme="majorHAnsi" w:cstheme="majorHAnsi"/>
          <w:szCs w:val="28"/>
          <w:lang w:val="vi-VN"/>
        </w:rPr>
      </w:pPr>
      <w:r>
        <w:rPr>
          <w:rFonts w:asciiTheme="majorHAnsi" w:hAnsiTheme="majorHAnsi" w:cstheme="majorHAnsi"/>
          <w:szCs w:val="28"/>
          <w:lang w:val="vi-VN"/>
        </w:rPr>
        <w:t>- Nghị quyết số 27-NQ/TW ngày 09/11/2022 của Ban Chấp hành Trung ương về tiếp tục xây dựng và hoàn thiện Nhà nước pháp quyền xã hội chủ nghĩa Việt Nam trong giai đoạn mới đặt ra yêu cầu tăng cường khả năng tiếp cận pháp luật, tiếp cận công lý và nâng cao hiệu quả các thiết chế bảo vệ quyền, lợi ích hợp pháp của người dân.</w:t>
      </w:r>
    </w:p>
    <w:p>
      <w:pPr>
        <w:spacing w:before="120" w:after="120" w:line="240" w:lineRule="auto"/>
        <w:ind w:firstLine="720"/>
        <w:jc w:val="both"/>
        <w:rPr>
          <w:rFonts w:asciiTheme="majorHAnsi" w:hAnsiTheme="majorHAnsi" w:cstheme="majorHAnsi"/>
          <w:szCs w:val="28"/>
          <w:lang w:val="vi-VN"/>
        </w:rPr>
      </w:pPr>
      <w:r>
        <w:rPr>
          <w:rFonts w:asciiTheme="majorHAnsi" w:hAnsiTheme="majorHAnsi" w:cstheme="majorHAnsi"/>
          <w:szCs w:val="28"/>
          <w:lang w:val="vi-VN"/>
        </w:rPr>
        <w:t>- Nghị quyết số 66-NQ/TW ngày 30/4/2025 của Bộ Chính trị về đổi mới công tác xây dựng và thi hành pháp luật đáp ứng yêu cầu phát triển đất nước trong kỷ nguyên mới yêu cầu tiếp tục hoàn thiện pháp luật, giảm thủ tục không cần thiết, tăng cường phân cấp, phân quyền và nâng cao hiệu quả tổ chức thi hành pháp luật.</w:t>
      </w:r>
    </w:p>
    <w:p>
      <w:pPr>
        <w:spacing w:before="120" w:after="120" w:line="240" w:lineRule="auto"/>
        <w:ind w:firstLine="720"/>
        <w:jc w:val="both"/>
        <w:rPr>
          <w:rFonts w:asciiTheme="majorHAnsi" w:hAnsiTheme="majorHAnsi" w:cstheme="majorHAnsi"/>
          <w:szCs w:val="28"/>
          <w:lang w:val="vi-VN"/>
        </w:rPr>
      </w:pPr>
      <w:r>
        <w:rPr>
          <w:rFonts w:asciiTheme="majorHAnsi" w:hAnsiTheme="majorHAnsi" w:cstheme="majorHAnsi"/>
          <w:szCs w:val="28"/>
          <w:lang w:val="vi-VN"/>
        </w:rPr>
        <w:t>- Các chủ trương về khoa học, công nghệ, đổi mới sáng tạo và chuyển đổi số, cùng với yêu cầu xây dựng Chính phủ số, xã hội số, đòi hỏi hoạt động trợ giúp pháp lý phải được tổ chức trên nền tảng dữ liệu đồng bộ, tăng khả năng kết nối, chia sẻ thông tin và tiếp cận dịch vụ thuận tiện hơn.</w:t>
      </w:r>
    </w:p>
    <w:p>
      <w:pPr>
        <w:spacing w:before="120" w:after="120" w:line="240" w:lineRule="auto"/>
        <w:ind w:firstLine="720"/>
        <w:jc w:val="both"/>
        <w:rPr>
          <w:rFonts w:asciiTheme="majorHAnsi" w:hAnsiTheme="majorHAnsi" w:cstheme="majorHAnsi"/>
          <w:szCs w:val="28"/>
          <w:lang w:val="vi-VN"/>
        </w:rPr>
      </w:pPr>
      <w:r>
        <w:rPr>
          <w:rFonts w:asciiTheme="majorHAnsi" w:hAnsiTheme="majorHAnsi" w:cstheme="majorHAnsi"/>
          <w:szCs w:val="28"/>
          <w:lang w:val="vi-VN"/>
        </w:rPr>
        <w:t>-</w:t>
      </w:r>
      <w:r>
        <w:rPr>
          <w:rFonts w:asciiTheme="majorHAnsi" w:hAnsiTheme="majorHAnsi" w:cstheme="majorHAnsi"/>
          <w:szCs w:val="28"/>
          <w:lang w:val="en-US"/>
        </w:rPr>
        <w:t xml:space="preserve"> </w:t>
      </w:r>
      <w:r>
        <w:rPr>
          <w:rFonts w:asciiTheme="majorHAnsi" w:hAnsiTheme="majorHAnsi" w:cstheme="majorHAnsi"/>
          <w:szCs w:val="28"/>
          <w:lang w:val="vi-VN"/>
        </w:rPr>
        <w:t>Việc sắp xếp đơn vị hành chính, tổ chức chính quyền địa phương hai cấp và ban hành các luật mới có liên quan, trong đó có Luật Tư pháp người chưa thành niên và Luật Phòng, chống mua bán người, làm phát sinh yêu cầu rà soát, sửa đổi các quy định về đối tượng được trợ giúp pháp lý, trách nhiệm của chính quyền địa phương và cơ chế phối hợp trong tố tụng.</w:t>
      </w:r>
    </w:p>
    <w:p>
      <w:pPr>
        <w:spacing w:before="120" w:after="120" w:line="240" w:lineRule="auto"/>
        <w:ind w:firstLine="720"/>
        <w:jc w:val="both"/>
        <w:rPr>
          <w:rFonts w:asciiTheme="majorHAnsi" w:hAnsiTheme="majorHAnsi" w:cstheme="majorHAnsi"/>
          <w:szCs w:val="28"/>
          <w:lang w:val="vi-VN"/>
        </w:rPr>
      </w:pPr>
      <w:r>
        <w:rPr>
          <w:rFonts w:asciiTheme="majorHAnsi" w:hAnsiTheme="majorHAnsi" w:cstheme="majorHAnsi"/>
          <w:szCs w:val="28"/>
          <w:lang w:val="en-US"/>
        </w:rPr>
        <w:lastRenderedPageBreak/>
        <w:t>Đây là các</w:t>
      </w:r>
      <w:r>
        <w:rPr>
          <w:rFonts w:asciiTheme="majorHAnsi" w:hAnsiTheme="majorHAnsi" w:cstheme="majorHAnsi"/>
          <w:szCs w:val="28"/>
          <w:lang w:val="vi-VN"/>
        </w:rPr>
        <w:t xml:space="preserve"> cơ sở chính trị, pháp lý quan trọng để sửa đổi Luật Trợ giúp pháp lý theo hướng chuyên nghiệp, hiện đại, dễ tiếp cận, lấy quyền và lợi ích hợp pháp của người được trợ giúp pháp lý làm trung tâm.</w:t>
      </w:r>
    </w:p>
    <w:p>
      <w:pPr>
        <w:pStyle w:val="Heading3"/>
        <w:spacing w:before="120" w:after="120" w:line="240" w:lineRule="auto"/>
        <w:ind w:firstLine="720"/>
        <w:jc w:val="both"/>
        <w:rPr>
          <w:rFonts w:cstheme="majorHAnsi"/>
          <w:b/>
          <w:color w:val="auto"/>
          <w:sz w:val="28"/>
          <w:szCs w:val="28"/>
          <w:lang w:val="vi-VN"/>
        </w:rPr>
      </w:pPr>
      <w:r>
        <w:rPr>
          <w:rFonts w:cstheme="majorHAnsi"/>
          <w:b/>
          <w:color w:val="auto"/>
          <w:sz w:val="28"/>
          <w:szCs w:val="28"/>
          <w:lang w:val="vi-VN"/>
        </w:rPr>
        <w:t>2. Cơ sở thực tiễn</w:t>
      </w:r>
    </w:p>
    <w:p>
      <w:pPr>
        <w:spacing w:before="120" w:after="120" w:line="240" w:lineRule="auto"/>
        <w:ind w:firstLine="720"/>
        <w:jc w:val="both"/>
        <w:rPr>
          <w:rFonts w:asciiTheme="majorHAnsi" w:hAnsiTheme="majorHAnsi" w:cstheme="majorHAnsi"/>
          <w:szCs w:val="28"/>
          <w:lang w:val="vi-VN"/>
        </w:rPr>
      </w:pPr>
      <w:r>
        <w:rPr>
          <w:rFonts w:asciiTheme="majorHAnsi" w:hAnsiTheme="majorHAnsi" w:cstheme="majorHAnsi"/>
          <w:szCs w:val="28"/>
          <w:lang w:val="vi-VN"/>
        </w:rPr>
        <w:t xml:space="preserve">Thực tiễn thi hành Luật </w:t>
      </w:r>
      <w:r>
        <w:rPr>
          <w:rFonts w:asciiTheme="majorHAnsi" w:hAnsiTheme="majorHAnsi" w:cstheme="majorHAnsi"/>
          <w:szCs w:val="28"/>
        </w:rPr>
        <w:t xml:space="preserve">số 11/2017/QH14 </w:t>
      </w:r>
      <w:r>
        <w:rPr>
          <w:rFonts w:asciiTheme="majorHAnsi" w:hAnsiTheme="majorHAnsi" w:cstheme="majorHAnsi"/>
          <w:szCs w:val="28"/>
          <w:lang w:val="vi-VN"/>
        </w:rPr>
        <w:t>cho thấy một số nhóm người có nhu cầu trợ giúp pháp lý thực sự nhưng chưa thuộc diện được hưởng hoặc chỉ được hưởng khi đáp ứng điều kiện khó khăn về tài chính. Điều này có thể làm hạn chế khả năng tiếp cận dịch vụ pháp lý miễn phí của người yếu thế, người gặp hoàn cảnh đặc biệt hoặc người cần được hỗ trợ kịp thời trong tố tụng.</w:t>
      </w:r>
    </w:p>
    <w:p>
      <w:pPr>
        <w:spacing w:before="120" w:after="120" w:line="240" w:lineRule="auto"/>
        <w:ind w:firstLine="720"/>
        <w:jc w:val="both"/>
        <w:rPr>
          <w:rFonts w:asciiTheme="majorHAnsi" w:hAnsiTheme="majorHAnsi" w:cstheme="majorHAnsi"/>
          <w:szCs w:val="28"/>
          <w:lang w:val="vi-VN"/>
        </w:rPr>
      </w:pPr>
      <w:r>
        <w:rPr>
          <w:rFonts w:asciiTheme="majorHAnsi" w:hAnsiTheme="majorHAnsi" w:cstheme="majorHAnsi"/>
          <w:szCs w:val="28"/>
          <w:lang w:val="vi-VN"/>
        </w:rPr>
        <w:t>Quy định về cộng tác viên trợ giúp pháp lý trước đây còn giới hạn về địa bàn và nhóm chủ thể, chưa huy động đầy đủ đội ngũ người có kinh nghiệm pháp luật đã nghỉ hưu, thôi việc hoặc viên chức có chuyên môn pháp luật. Trong khi đó, nhu cầu trợ giúp pháp lý tại nhiều địa bàn đa dạng, phân tán, đòi hỏi cơ chế huy động nguồn lực linh hoạt nhưng vẫn phải bảo đảm tiêu chuẩn, điều kiện và chất lượng.</w:t>
      </w:r>
    </w:p>
    <w:p>
      <w:pPr>
        <w:spacing w:before="120" w:after="120" w:line="240" w:lineRule="auto"/>
        <w:ind w:firstLine="720"/>
        <w:jc w:val="both"/>
        <w:rPr>
          <w:rFonts w:asciiTheme="majorHAnsi" w:hAnsiTheme="majorHAnsi" w:cstheme="majorHAnsi"/>
          <w:szCs w:val="28"/>
          <w:lang w:val="vi-VN"/>
        </w:rPr>
      </w:pPr>
      <w:r>
        <w:rPr>
          <w:rFonts w:asciiTheme="majorHAnsi" w:hAnsiTheme="majorHAnsi" w:cstheme="majorHAnsi"/>
          <w:szCs w:val="28"/>
          <w:lang w:val="vi-VN"/>
        </w:rPr>
        <w:t>Mô hình Chi nhánh Trung tâm trợ giúp pháp lý nhà nước gắn với một số điều kiện địa bàn cụ thể không còn phù hợp trong bối cảnh tổ chức chính quyền địa phương hai cấp. Việc trao quyền chủ động hơn cho cấp tỉnh trong quyết định thành lập Chi nhánh theo điều kiện kinh tế - xã hội và nhu cầu trợ giúp pháp lý tại địa phương là cần thiết để bảo đảm dịch vụ không bị gián đoạn.</w:t>
      </w:r>
    </w:p>
    <w:p>
      <w:pPr>
        <w:spacing w:before="120" w:after="120" w:line="240" w:lineRule="auto"/>
        <w:ind w:firstLine="720"/>
        <w:jc w:val="both"/>
        <w:rPr>
          <w:rFonts w:asciiTheme="majorHAnsi" w:hAnsiTheme="majorHAnsi" w:cstheme="majorHAnsi"/>
          <w:szCs w:val="28"/>
          <w:lang w:val="vi-VN"/>
        </w:rPr>
      </w:pPr>
      <w:r>
        <w:rPr>
          <w:rFonts w:asciiTheme="majorHAnsi" w:hAnsiTheme="majorHAnsi" w:cstheme="majorHAnsi"/>
          <w:szCs w:val="28"/>
          <w:lang w:val="vi-VN"/>
        </w:rPr>
        <w:t>Bên cạnh đó, cơ chế trực trợ giúp pháp lý tại Tòa án nhân dân, trực trợ giúp pháp lý trong điều tra hình sự và phối hợp liên ngành đã được thực tiễn chứng minh có hiệu quả nhưng trước đây chủ yếu được thực hiện thông qua quy chế, kế hoạch phối hợp. Việc luật hóa các cơ chế này giúp nâng cao tính ổn định, thống nhất và trách nhiệm của các cơ quan có liên quan trong việc bảo đảm quyền được trợ giúp pháp lý.</w:t>
      </w:r>
    </w:p>
    <w:p>
      <w:pPr>
        <w:spacing w:before="120" w:after="120" w:line="240" w:lineRule="auto"/>
        <w:ind w:firstLine="720"/>
        <w:jc w:val="both"/>
        <w:rPr>
          <w:rFonts w:asciiTheme="majorHAnsi" w:hAnsiTheme="majorHAnsi" w:cstheme="majorHAnsi"/>
          <w:szCs w:val="28"/>
          <w:lang w:val="vi-VN"/>
        </w:rPr>
      </w:pPr>
      <w:r>
        <w:rPr>
          <w:rFonts w:asciiTheme="majorHAnsi" w:hAnsiTheme="majorHAnsi" w:cstheme="majorHAnsi"/>
          <w:szCs w:val="28"/>
          <w:lang w:val="vi-VN"/>
        </w:rPr>
        <w:t>Yêu cầu quản trị dữ liệu, kết nối thông tin và chuyển đổi số trong hoạt động trợ giúp pháp lý ngày càng rõ nét.</w:t>
      </w:r>
      <w:r>
        <w:rPr>
          <w:rFonts w:asciiTheme="majorHAnsi" w:hAnsiTheme="majorHAnsi" w:cstheme="majorHAnsi"/>
          <w:szCs w:val="28"/>
          <w:lang w:val="en-US"/>
        </w:rPr>
        <w:t xml:space="preserve"> Luật</w:t>
      </w:r>
      <w:r>
        <w:rPr>
          <w:rFonts w:asciiTheme="majorHAnsi" w:hAnsiTheme="majorHAnsi" w:cstheme="majorHAnsi"/>
          <w:szCs w:val="28"/>
          <w:lang w:val="vi-VN"/>
        </w:rPr>
        <w:t xml:space="preserve"> </w:t>
      </w:r>
      <w:r>
        <w:rPr>
          <w:rFonts w:asciiTheme="majorHAnsi" w:hAnsiTheme="majorHAnsi" w:cstheme="majorHAnsi"/>
          <w:szCs w:val="28"/>
        </w:rPr>
        <w:t xml:space="preserve">số 11/2017/QH14 </w:t>
      </w:r>
      <w:r>
        <w:rPr>
          <w:rFonts w:asciiTheme="majorHAnsi" w:hAnsiTheme="majorHAnsi" w:cstheme="majorHAnsi"/>
          <w:szCs w:val="28"/>
          <w:lang w:val="vi-VN"/>
        </w:rPr>
        <w:t>chưa quy định đầy đủ về xây dựng, vận hành cơ sở dữ liệu, kết nối với Cổng Pháp luật quốc gia và trách nhiệm chia sẻ dữ liệu giữa các cơ quan, địa phương. Đây là một trong những khoảng trống cần được khắc phục.</w:t>
      </w:r>
    </w:p>
    <w:p>
      <w:pPr>
        <w:pStyle w:val="Heading2"/>
        <w:spacing w:before="120" w:after="120"/>
        <w:ind w:firstLine="720"/>
        <w:jc w:val="both"/>
        <w:rPr>
          <w:rFonts w:asciiTheme="majorHAnsi" w:hAnsiTheme="majorHAnsi" w:cstheme="majorHAnsi"/>
          <w:i w:val="0"/>
        </w:rPr>
      </w:pPr>
      <w:r>
        <w:rPr>
          <w:rFonts w:asciiTheme="majorHAnsi" w:hAnsiTheme="majorHAnsi" w:cstheme="majorHAnsi"/>
          <w:i w:val="0"/>
        </w:rPr>
        <w:t>II. MỤC ĐÍCH BAN HÀNH VÀ QUAN ĐIỂM XÂY DỰNG LUẬT</w:t>
      </w:r>
    </w:p>
    <w:p>
      <w:pPr>
        <w:pStyle w:val="Heading3"/>
        <w:spacing w:before="120" w:after="120" w:line="240" w:lineRule="auto"/>
        <w:ind w:firstLine="720"/>
        <w:jc w:val="both"/>
        <w:rPr>
          <w:rFonts w:cstheme="majorHAnsi"/>
          <w:b/>
          <w:color w:val="auto"/>
          <w:sz w:val="28"/>
          <w:szCs w:val="28"/>
        </w:rPr>
      </w:pPr>
      <w:r>
        <w:rPr>
          <w:rFonts w:cstheme="majorHAnsi"/>
          <w:b/>
          <w:color w:val="auto"/>
          <w:sz w:val="28"/>
          <w:szCs w:val="28"/>
        </w:rPr>
        <w:t>1. Mục đích ban hành</w:t>
      </w:r>
    </w:p>
    <w:p>
      <w:pPr>
        <w:spacing w:before="120" w:after="120" w:line="240" w:lineRule="auto"/>
        <w:ind w:firstLine="720"/>
        <w:jc w:val="both"/>
        <w:rPr>
          <w:rFonts w:asciiTheme="majorHAnsi" w:hAnsiTheme="majorHAnsi" w:cstheme="majorHAnsi"/>
          <w:szCs w:val="28"/>
        </w:rPr>
      </w:pPr>
      <w:r>
        <w:rPr>
          <w:rFonts w:asciiTheme="majorHAnsi" w:hAnsiTheme="majorHAnsi" w:cstheme="majorHAnsi"/>
          <w:szCs w:val="28"/>
        </w:rPr>
        <w:t>- Khắc phục những hạn chế, bất cập của Luật số 11/2017/QH14, bảo đảm sự đồng bộ, thống nhất của hệ thống pháp luật và phù hợp với mô hình tổ chức chính quyền địa phương hai cấp.</w:t>
      </w:r>
    </w:p>
    <w:p>
      <w:pPr>
        <w:spacing w:before="120" w:after="120" w:line="240" w:lineRule="auto"/>
        <w:ind w:firstLine="720"/>
        <w:jc w:val="both"/>
        <w:rPr>
          <w:rFonts w:asciiTheme="majorHAnsi" w:hAnsiTheme="majorHAnsi" w:cstheme="majorHAnsi"/>
          <w:szCs w:val="28"/>
        </w:rPr>
      </w:pPr>
      <w:r>
        <w:rPr>
          <w:rFonts w:asciiTheme="majorHAnsi" w:hAnsiTheme="majorHAnsi" w:cstheme="majorHAnsi"/>
          <w:szCs w:val="28"/>
        </w:rPr>
        <w:t>- Bảo đảm tốt hơn quyền tiếp cận trợ giúp pháp lý và quyền tiếp cận công lý của người dân, nhất là các nhóm yếu thế, người thuộc diện chính sách xã hội và các trường hợp cần được hỗ trợ kịp thời.</w:t>
      </w:r>
    </w:p>
    <w:p>
      <w:pPr>
        <w:spacing w:before="120" w:after="120" w:line="240" w:lineRule="auto"/>
        <w:ind w:firstLine="720"/>
        <w:jc w:val="both"/>
        <w:rPr>
          <w:rFonts w:asciiTheme="majorHAnsi" w:hAnsiTheme="majorHAnsi" w:cstheme="majorHAnsi"/>
          <w:szCs w:val="28"/>
        </w:rPr>
      </w:pPr>
      <w:r>
        <w:rPr>
          <w:rFonts w:asciiTheme="majorHAnsi" w:hAnsiTheme="majorHAnsi" w:cstheme="majorHAnsi"/>
          <w:szCs w:val="28"/>
        </w:rPr>
        <w:lastRenderedPageBreak/>
        <w:t>- Nâng cao tính chuyên nghiệp, chất lượng và hiệu quả của hoạt động trợ giúp pháp lý; hoàn thiện cơ chế quản lý đội ngũ trợ giúp viên pháp lý và cộng tác viên trợ giúp pháp lý.</w:t>
      </w:r>
    </w:p>
    <w:p>
      <w:pPr>
        <w:spacing w:before="120" w:after="120" w:line="240" w:lineRule="auto"/>
        <w:ind w:firstLine="720"/>
        <w:jc w:val="both"/>
        <w:rPr>
          <w:rFonts w:asciiTheme="majorHAnsi" w:hAnsiTheme="majorHAnsi" w:cstheme="majorHAnsi"/>
          <w:szCs w:val="28"/>
        </w:rPr>
      </w:pPr>
      <w:r>
        <w:rPr>
          <w:rFonts w:asciiTheme="majorHAnsi" w:hAnsiTheme="majorHAnsi" w:cstheme="majorHAnsi"/>
          <w:szCs w:val="28"/>
        </w:rPr>
        <w:t>- Đẩy mạnh ứng dụng công nghệ thông tin, công nghệ số, kết nối và chia sẻ dữ liệu; giảm thủ tục hành chính và tạo điều kiện thuận lợi cho người dân tiếp cận dịch vụ.</w:t>
      </w:r>
    </w:p>
    <w:p>
      <w:pPr>
        <w:pStyle w:val="Heading3"/>
        <w:spacing w:before="120" w:after="120" w:line="240" w:lineRule="auto"/>
        <w:ind w:firstLine="720"/>
        <w:jc w:val="both"/>
        <w:rPr>
          <w:rFonts w:cstheme="majorHAnsi"/>
          <w:b/>
          <w:color w:val="auto"/>
          <w:sz w:val="28"/>
          <w:szCs w:val="28"/>
        </w:rPr>
      </w:pPr>
      <w:r>
        <w:rPr>
          <w:rFonts w:cstheme="majorHAnsi"/>
          <w:b/>
          <w:color w:val="auto"/>
          <w:sz w:val="28"/>
          <w:szCs w:val="28"/>
        </w:rPr>
        <w:t>2. Quan điểm xây dựng Luật</w:t>
      </w:r>
    </w:p>
    <w:p>
      <w:pPr>
        <w:spacing w:before="120" w:after="120" w:line="240" w:lineRule="auto"/>
        <w:ind w:firstLine="720"/>
        <w:jc w:val="both"/>
        <w:rPr>
          <w:rFonts w:asciiTheme="majorHAnsi" w:hAnsiTheme="majorHAnsi" w:cstheme="majorHAnsi"/>
          <w:szCs w:val="28"/>
        </w:rPr>
      </w:pPr>
      <w:r>
        <w:rPr>
          <w:rFonts w:asciiTheme="majorHAnsi" w:hAnsiTheme="majorHAnsi" w:cstheme="majorHAnsi"/>
          <w:szCs w:val="28"/>
        </w:rPr>
        <w:t>- Thể chế hóa đầy đủ các chủ trương, đường lối mới của Đảng, chính sách của Nhà nước về xây dựng Nhà nước pháp quyền, cải cách tư pháp, cải cách hành chính, phân cấp, phân quyền và chuyển đổi số.</w:t>
      </w:r>
    </w:p>
    <w:p>
      <w:pPr>
        <w:spacing w:before="120" w:after="120" w:line="240" w:lineRule="auto"/>
        <w:ind w:firstLine="720"/>
        <w:jc w:val="both"/>
        <w:rPr>
          <w:rFonts w:asciiTheme="majorHAnsi" w:hAnsiTheme="majorHAnsi" w:cstheme="majorHAnsi"/>
          <w:szCs w:val="28"/>
        </w:rPr>
      </w:pPr>
      <w:r>
        <w:rPr>
          <w:rFonts w:asciiTheme="majorHAnsi" w:hAnsiTheme="majorHAnsi" w:cstheme="majorHAnsi"/>
          <w:szCs w:val="28"/>
        </w:rPr>
        <w:t>- Lấy quyền và lợi ích hợp pháp của người được trợ giúp pháp lý làm trung tâm; mở rộng diện được trợ giúp pháp lý có trọng tâm, phù hợp điều kiện kinh tế - xã hội và khả năng bảo đảm nguồn lực của Nhà nước.</w:t>
      </w:r>
    </w:p>
    <w:p>
      <w:pPr>
        <w:spacing w:before="120" w:after="120" w:line="240" w:lineRule="auto"/>
        <w:ind w:firstLine="720"/>
        <w:jc w:val="both"/>
        <w:rPr>
          <w:rFonts w:asciiTheme="majorHAnsi" w:hAnsiTheme="majorHAnsi" w:cstheme="majorHAnsi"/>
          <w:szCs w:val="28"/>
        </w:rPr>
      </w:pPr>
      <w:r>
        <w:rPr>
          <w:rFonts w:asciiTheme="majorHAnsi" w:hAnsiTheme="majorHAnsi" w:cstheme="majorHAnsi"/>
          <w:szCs w:val="28"/>
        </w:rPr>
        <w:t>- Mở rộng có chọn lọc nguồn lực xã hội tham gia trợ giúp pháp lý, đồng thời siết chặt tiêu chuẩn, điều kiện và cơ chế sàng lọc nhằm bảo đảm chất lượng dịch vụ.</w:t>
      </w:r>
    </w:p>
    <w:p>
      <w:pPr>
        <w:spacing w:before="120" w:after="120" w:line="240" w:lineRule="auto"/>
        <w:ind w:firstLine="720"/>
        <w:jc w:val="both"/>
        <w:rPr>
          <w:rFonts w:asciiTheme="majorHAnsi" w:hAnsiTheme="majorHAnsi" w:cstheme="majorHAnsi"/>
          <w:szCs w:val="28"/>
        </w:rPr>
      </w:pPr>
      <w:r>
        <w:rPr>
          <w:rFonts w:asciiTheme="majorHAnsi" w:hAnsiTheme="majorHAnsi" w:cstheme="majorHAnsi"/>
          <w:szCs w:val="28"/>
        </w:rPr>
        <w:t>- Bảo đảm tính thống nhất, đồng bộ với các luật, nghị quyết có liên quan và tương thích với các điều ước quốc tế mà Việt Nam là thành viên; kế thừa các quy định còn phù hợp và chỉ sửa đổi những nội dung thực sự cần thiết.</w:t>
      </w:r>
    </w:p>
    <w:p>
      <w:pPr>
        <w:pStyle w:val="Heading1"/>
        <w:spacing w:before="120" w:after="120" w:line="240" w:lineRule="auto"/>
        <w:ind w:firstLine="720"/>
        <w:jc w:val="both"/>
        <w:rPr>
          <w:rFonts w:cstheme="majorHAnsi"/>
          <w:b/>
          <w:color w:val="auto"/>
          <w:sz w:val="28"/>
          <w:szCs w:val="28"/>
        </w:rPr>
      </w:pPr>
      <w:r>
        <w:rPr>
          <w:rFonts w:cstheme="majorHAnsi"/>
          <w:b/>
          <w:color w:val="auto"/>
          <w:sz w:val="28"/>
          <w:szCs w:val="28"/>
        </w:rPr>
        <w:t>PHẦN II. GIỚI THIỆU VĂN BẢN</w:t>
      </w:r>
    </w:p>
    <w:p>
      <w:pPr>
        <w:pStyle w:val="Heading2"/>
        <w:spacing w:before="120" w:after="120"/>
        <w:ind w:firstLine="720"/>
        <w:jc w:val="both"/>
        <w:rPr>
          <w:rFonts w:asciiTheme="majorHAnsi" w:hAnsiTheme="majorHAnsi" w:cstheme="majorHAnsi"/>
          <w:i w:val="0"/>
        </w:rPr>
      </w:pPr>
      <w:r>
        <w:rPr>
          <w:rFonts w:asciiTheme="majorHAnsi" w:hAnsiTheme="majorHAnsi" w:cstheme="majorHAnsi"/>
          <w:i w:val="0"/>
        </w:rPr>
        <w:t>I. BỐ CỤC CỦA LUẬT</w:t>
      </w:r>
    </w:p>
    <w:p>
      <w:pPr>
        <w:spacing w:before="120" w:after="120" w:line="240" w:lineRule="auto"/>
        <w:ind w:firstLine="720"/>
        <w:jc w:val="both"/>
        <w:rPr>
          <w:rFonts w:asciiTheme="majorHAnsi" w:hAnsiTheme="majorHAnsi" w:cstheme="majorHAnsi"/>
          <w:szCs w:val="28"/>
        </w:rPr>
      </w:pPr>
      <w:r>
        <w:rPr>
          <w:rFonts w:asciiTheme="majorHAnsi" w:hAnsiTheme="majorHAnsi" w:cstheme="majorHAnsi"/>
          <w:szCs w:val="28"/>
        </w:rPr>
        <w:t xml:space="preserve">Luật số 05/2026/QH16 sửa đổi, bổ sung một số điều của Luật Trợ giúp pháp lý gồm </w:t>
      </w:r>
      <w:r>
        <w:rPr>
          <w:rStyle w:val="Strong"/>
          <w:rFonts w:asciiTheme="majorHAnsi" w:hAnsiTheme="majorHAnsi" w:cstheme="majorHAnsi"/>
          <w:b w:val="0"/>
          <w:szCs w:val="28"/>
        </w:rPr>
        <w:t>03 Điều</w:t>
      </w:r>
      <w:r>
        <w:rPr>
          <w:rFonts w:asciiTheme="majorHAnsi" w:hAnsiTheme="majorHAnsi" w:cstheme="majorHAnsi"/>
          <w:szCs w:val="28"/>
        </w:rPr>
        <w:t>, cụ thể:</w:t>
      </w:r>
    </w:p>
    <w:p>
      <w:pPr>
        <w:spacing w:before="120" w:after="120" w:line="240" w:lineRule="auto"/>
        <w:ind w:firstLine="720"/>
        <w:jc w:val="both"/>
        <w:rPr>
          <w:rFonts w:asciiTheme="majorHAnsi" w:eastAsia="Times New Roman" w:hAnsiTheme="majorHAnsi" w:cstheme="majorHAnsi"/>
          <w:i/>
          <w:szCs w:val="28"/>
          <w:lang w:val="vi-VN" w:eastAsia="vi-VN"/>
        </w:rPr>
      </w:pPr>
      <w:r>
        <w:rPr>
          <w:rFonts w:asciiTheme="majorHAnsi" w:eastAsia="Times New Roman" w:hAnsiTheme="majorHAnsi" w:cstheme="majorHAnsi"/>
          <w:b/>
          <w:bCs/>
          <w:i/>
          <w:szCs w:val="28"/>
          <w:lang w:val="vi-VN" w:eastAsia="vi-VN"/>
        </w:rPr>
        <w:t>Điều 1. Sửa đổi, bổ sung một số điều của Luật Trợ giúp pháp lý</w:t>
      </w:r>
    </w:p>
    <w:p>
      <w:pPr>
        <w:spacing w:before="120" w:after="120" w:line="240" w:lineRule="auto"/>
        <w:ind w:firstLine="720"/>
        <w:jc w:val="both"/>
        <w:rPr>
          <w:rFonts w:asciiTheme="majorHAnsi" w:eastAsia="Times New Roman" w:hAnsiTheme="majorHAnsi" w:cstheme="majorHAnsi"/>
          <w:szCs w:val="28"/>
          <w:lang w:val="vi-VN" w:eastAsia="vi-VN"/>
        </w:rPr>
      </w:pPr>
      <w:r>
        <w:rPr>
          <w:rFonts w:asciiTheme="majorHAnsi" w:eastAsia="Times New Roman" w:hAnsiTheme="majorHAnsi" w:cstheme="majorHAnsi"/>
          <w:szCs w:val="28"/>
          <w:lang w:val="vi-VN" w:eastAsia="vi-VN"/>
        </w:rPr>
        <w:t xml:space="preserve">1. Sửa đổi, bổ sung </w:t>
      </w:r>
      <w:r>
        <w:rPr>
          <w:rFonts w:asciiTheme="majorHAnsi" w:eastAsia="Times New Roman" w:hAnsiTheme="majorHAnsi" w:cstheme="majorHAnsi"/>
          <w:bCs/>
          <w:szCs w:val="28"/>
          <w:lang w:val="vi-VN" w:eastAsia="vi-VN"/>
        </w:rPr>
        <w:t>khoản 2 Điều 5</w:t>
      </w:r>
      <w:r>
        <w:rPr>
          <w:rFonts w:asciiTheme="majorHAnsi" w:eastAsia="Times New Roman" w:hAnsiTheme="majorHAnsi" w:cstheme="majorHAnsi"/>
          <w:szCs w:val="28"/>
          <w:lang w:val="vi-VN" w:eastAsia="vi-VN"/>
        </w:rPr>
        <w:t xml:space="preserve"> - Kinh phí ngân sách nhà nước cho trợ giúp pháp lý;</w:t>
      </w:r>
    </w:p>
    <w:p>
      <w:pPr>
        <w:spacing w:before="120" w:after="120" w:line="240" w:lineRule="auto"/>
        <w:ind w:firstLine="720"/>
        <w:jc w:val="both"/>
        <w:rPr>
          <w:rFonts w:asciiTheme="majorHAnsi" w:eastAsia="Times New Roman" w:hAnsiTheme="majorHAnsi" w:cstheme="majorHAnsi"/>
          <w:szCs w:val="28"/>
          <w:lang w:val="vi-VN" w:eastAsia="vi-VN"/>
        </w:rPr>
      </w:pPr>
      <w:r>
        <w:rPr>
          <w:rFonts w:asciiTheme="majorHAnsi" w:eastAsia="Times New Roman" w:hAnsiTheme="majorHAnsi" w:cstheme="majorHAnsi"/>
          <w:szCs w:val="28"/>
          <w:lang w:val="vi-VN" w:eastAsia="vi-VN"/>
        </w:rPr>
        <w:t xml:space="preserve">2. Sửa đổi, bổ sung </w:t>
      </w:r>
      <w:r>
        <w:rPr>
          <w:rFonts w:asciiTheme="majorHAnsi" w:eastAsia="Times New Roman" w:hAnsiTheme="majorHAnsi" w:cstheme="majorHAnsi"/>
          <w:bCs/>
          <w:szCs w:val="28"/>
          <w:lang w:val="vi-VN" w:eastAsia="vi-VN"/>
        </w:rPr>
        <w:t>Điều 7 - Người được trợ giúp pháp lý</w:t>
      </w:r>
      <w:r>
        <w:rPr>
          <w:rFonts w:asciiTheme="majorHAnsi" w:eastAsia="Times New Roman" w:hAnsiTheme="majorHAnsi" w:cstheme="majorHAnsi"/>
          <w:szCs w:val="28"/>
          <w:lang w:val="vi-VN" w:eastAsia="vi-VN"/>
        </w:rPr>
        <w:t>;</w:t>
      </w:r>
    </w:p>
    <w:p>
      <w:pPr>
        <w:spacing w:before="120" w:after="120" w:line="240" w:lineRule="auto"/>
        <w:ind w:firstLine="720"/>
        <w:jc w:val="both"/>
        <w:rPr>
          <w:rFonts w:asciiTheme="majorHAnsi" w:eastAsia="Times New Roman" w:hAnsiTheme="majorHAnsi" w:cstheme="majorHAnsi"/>
          <w:szCs w:val="28"/>
          <w:lang w:val="vi-VN" w:eastAsia="vi-VN"/>
        </w:rPr>
      </w:pPr>
      <w:r>
        <w:rPr>
          <w:rFonts w:asciiTheme="majorHAnsi" w:eastAsia="Times New Roman" w:hAnsiTheme="majorHAnsi" w:cstheme="majorHAnsi"/>
          <w:szCs w:val="28"/>
          <w:lang w:val="vi-VN" w:eastAsia="vi-VN"/>
        </w:rPr>
        <w:t xml:space="preserve">3. Sửa đổi, bổ sung </w:t>
      </w:r>
      <w:r>
        <w:rPr>
          <w:rFonts w:asciiTheme="majorHAnsi" w:eastAsia="Times New Roman" w:hAnsiTheme="majorHAnsi" w:cstheme="majorHAnsi"/>
          <w:bCs/>
          <w:szCs w:val="28"/>
          <w:lang w:val="vi-VN" w:eastAsia="vi-VN"/>
        </w:rPr>
        <w:t>khoản 2 và khoản 3 Điều 11</w:t>
      </w:r>
      <w:r>
        <w:rPr>
          <w:rFonts w:asciiTheme="majorHAnsi" w:eastAsia="Times New Roman" w:hAnsiTheme="majorHAnsi" w:cstheme="majorHAnsi"/>
          <w:szCs w:val="28"/>
          <w:lang w:val="vi-VN" w:eastAsia="vi-VN"/>
        </w:rPr>
        <w:t xml:space="preserve"> - Trung tâm trợ giúp pháp lý nhà nước và Chi nhánh;</w:t>
      </w:r>
    </w:p>
    <w:p>
      <w:pPr>
        <w:spacing w:before="120" w:after="120" w:line="240" w:lineRule="auto"/>
        <w:ind w:firstLine="720"/>
        <w:jc w:val="both"/>
        <w:rPr>
          <w:rFonts w:asciiTheme="majorHAnsi" w:eastAsia="Times New Roman" w:hAnsiTheme="majorHAnsi" w:cstheme="majorHAnsi"/>
          <w:szCs w:val="28"/>
          <w:lang w:val="vi-VN" w:eastAsia="vi-VN"/>
        </w:rPr>
      </w:pPr>
      <w:r>
        <w:rPr>
          <w:rFonts w:asciiTheme="majorHAnsi" w:eastAsia="Times New Roman" w:hAnsiTheme="majorHAnsi" w:cstheme="majorHAnsi"/>
          <w:szCs w:val="28"/>
          <w:lang w:val="vi-VN" w:eastAsia="vi-VN"/>
        </w:rPr>
        <w:t xml:space="preserve">4. Sửa đổi, bổ sung </w:t>
      </w:r>
      <w:r>
        <w:rPr>
          <w:rFonts w:asciiTheme="majorHAnsi" w:eastAsia="Times New Roman" w:hAnsiTheme="majorHAnsi" w:cstheme="majorHAnsi"/>
          <w:bCs/>
          <w:szCs w:val="28"/>
          <w:lang w:val="vi-VN" w:eastAsia="vi-VN"/>
        </w:rPr>
        <w:t>Điều 19 - Tiêu chuẩn trợ giúp viên pháp lý</w:t>
      </w:r>
      <w:r>
        <w:rPr>
          <w:rFonts w:asciiTheme="majorHAnsi" w:eastAsia="Times New Roman" w:hAnsiTheme="majorHAnsi" w:cstheme="majorHAnsi"/>
          <w:szCs w:val="28"/>
          <w:lang w:val="vi-VN" w:eastAsia="vi-VN"/>
        </w:rPr>
        <w:t>;</w:t>
      </w:r>
    </w:p>
    <w:p>
      <w:pPr>
        <w:spacing w:before="120" w:after="120" w:line="240" w:lineRule="auto"/>
        <w:ind w:firstLine="720"/>
        <w:jc w:val="both"/>
        <w:rPr>
          <w:rFonts w:asciiTheme="majorHAnsi" w:eastAsia="Times New Roman" w:hAnsiTheme="majorHAnsi" w:cstheme="majorHAnsi"/>
          <w:szCs w:val="28"/>
          <w:lang w:val="vi-VN" w:eastAsia="vi-VN"/>
        </w:rPr>
      </w:pPr>
      <w:r>
        <w:rPr>
          <w:rFonts w:asciiTheme="majorHAnsi" w:eastAsia="Times New Roman" w:hAnsiTheme="majorHAnsi" w:cstheme="majorHAnsi"/>
          <w:szCs w:val="28"/>
          <w:lang w:val="vi-VN" w:eastAsia="vi-VN"/>
        </w:rPr>
        <w:t xml:space="preserve">5. Sửa đổi, bổ sung </w:t>
      </w:r>
      <w:r>
        <w:rPr>
          <w:rFonts w:asciiTheme="majorHAnsi" w:eastAsia="Times New Roman" w:hAnsiTheme="majorHAnsi" w:cstheme="majorHAnsi"/>
          <w:bCs/>
          <w:szCs w:val="28"/>
          <w:lang w:val="vi-VN" w:eastAsia="vi-VN"/>
        </w:rPr>
        <w:t>Điều 21 - Bổ nhiệm, cấp thẻ, cấp lại thẻ trợ giúp viên pháp lý</w:t>
      </w:r>
      <w:r>
        <w:rPr>
          <w:rFonts w:asciiTheme="majorHAnsi" w:eastAsia="Times New Roman" w:hAnsiTheme="majorHAnsi" w:cstheme="majorHAnsi"/>
          <w:szCs w:val="28"/>
          <w:lang w:val="vi-VN" w:eastAsia="vi-VN"/>
        </w:rPr>
        <w:t>;</w:t>
      </w:r>
    </w:p>
    <w:p>
      <w:pPr>
        <w:spacing w:before="120" w:after="120" w:line="240" w:lineRule="auto"/>
        <w:ind w:firstLine="720"/>
        <w:jc w:val="both"/>
        <w:rPr>
          <w:rFonts w:asciiTheme="majorHAnsi" w:eastAsia="Times New Roman" w:hAnsiTheme="majorHAnsi" w:cstheme="majorHAnsi"/>
          <w:spacing w:val="-6"/>
          <w:szCs w:val="28"/>
          <w:lang w:val="vi-VN" w:eastAsia="vi-VN"/>
        </w:rPr>
      </w:pPr>
      <w:r>
        <w:rPr>
          <w:rFonts w:asciiTheme="majorHAnsi" w:eastAsia="Times New Roman" w:hAnsiTheme="majorHAnsi" w:cstheme="majorHAnsi"/>
          <w:spacing w:val="-6"/>
          <w:szCs w:val="28"/>
          <w:lang w:val="vi-VN" w:eastAsia="vi-VN"/>
        </w:rPr>
        <w:t xml:space="preserve">6. Sửa đổi, bổ sung </w:t>
      </w:r>
      <w:r>
        <w:rPr>
          <w:rFonts w:asciiTheme="majorHAnsi" w:eastAsia="Times New Roman" w:hAnsiTheme="majorHAnsi" w:cstheme="majorHAnsi"/>
          <w:bCs/>
          <w:spacing w:val="-6"/>
          <w:szCs w:val="28"/>
          <w:lang w:val="vi-VN" w:eastAsia="vi-VN"/>
        </w:rPr>
        <w:t>Điều 22 - Miễn nhiệm, thu hồi thẻ trợ giúp viên pháp lý</w:t>
      </w:r>
      <w:r>
        <w:rPr>
          <w:rFonts w:asciiTheme="majorHAnsi" w:eastAsia="Times New Roman" w:hAnsiTheme="majorHAnsi" w:cstheme="majorHAnsi"/>
          <w:spacing w:val="-6"/>
          <w:szCs w:val="28"/>
          <w:lang w:val="vi-VN" w:eastAsia="vi-VN"/>
        </w:rPr>
        <w:t>;</w:t>
      </w:r>
    </w:p>
    <w:p>
      <w:pPr>
        <w:spacing w:before="120" w:after="120" w:line="240" w:lineRule="auto"/>
        <w:ind w:firstLine="720"/>
        <w:jc w:val="both"/>
        <w:rPr>
          <w:rFonts w:asciiTheme="majorHAnsi" w:eastAsia="Times New Roman" w:hAnsiTheme="majorHAnsi" w:cstheme="majorHAnsi"/>
          <w:szCs w:val="28"/>
          <w:lang w:val="vi-VN" w:eastAsia="vi-VN"/>
        </w:rPr>
      </w:pPr>
      <w:r>
        <w:rPr>
          <w:rFonts w:asciiTheme="majorHAnsi" w:eastAsia="Times New Roman" w:hAnsiTheme="majorHAnsi" w:cstheme="majorHAnsi"/>
          <w:szCs w:val="28"/>
          <w:lang w:val="vi-VN" w:eastAsia="vi-VN"/>
        </w:rPr>
        <w:t xml:space="preserve">7. Sửa đổi, bổ sung </w:t>
      </w:r>
      <w:r>
        <w:rPr>
          <w:rFonts w:asciiTheme="majorHAnsi" w:eastAsia="Times New Roman" w:hAnsiTheme="majorHAnsi" w:cstheme="majorHAnsi"/>
          <w:bCs/>
          <w:szCs w:val="28"/>
          <w:lang w:val="vi-VN" w:eastAsia="vi-VN"/>
        </w:rPr>
        <w:t>Điều 24 - Cộng tác viên trợ giúp pháp lý</w:t>
      </w:r>
      <w:r>
        <w:rPr>
          <w:rFonts w:asciiTheme="majorHAnsi" w:eastAsia="Times New Roman" w:hAnsiTheme="majorHAnsi" w:cstheme="majorHAnsi"/>
          <w:szCs w:val="28"/>
          <w:lang w:val="vi-VN" w:eastAsia="vi-VN"/>
        </w:rPr>
        <w:t>;</w:t>
      </w:r>
    </w:p>
    <w:p>
      <w:pPr>
        <w:spacing w:before="120" w:after="120" w:line="240" w:lineRule="auto"/>
        <w:ind w:firstLine="720"/>
        <w:jc w:val="both"/>
        <w:rPr>
          <w:rFonts w:asciiTheme="majorHAnsi" w:eastAsia="Times New Roman" w:hAnsiTheme="majorHAnsi" w:cstheme="majorHAnsi"/>
          <w:szCs w:val="28"/>
          <w:lang w:val="vi-VN" w:eastAsia="vi-VN"/>
        </w:rPr>
      </w:pPr>
      <w:r>
        <w:rPr>
          <w:rFonts w:asciiTheme="majorHAnsi" w:eastAsia="Times New Roman" w:hAnsiTheme="majorHAnsi" w:cstheme="majorHAnsi"/>
          <w:szCs w:val="28"/>
          <w:lang w:val="vi-VN" w:eastAsia="vi-VN"/>
        </w:rPr>
        <w:t xml:space="preserve">8. Bổ sung </w:t>
      </w:r>
      <w:r>
        <w:rPr>
          <w:rFonts w:asciiTheme="majorHAnsi" w:eastAsia="Times New Roman" w:hAnsiTheme="majorHAnsi" w:cstheme="majorHAnsi"/>
          <w:bCs/>
          <w:szCs w:val="28"/>
          <w:lang w:val="vi-VN" w:eastAsia="vi-VN"/>
        </w:rPr>
        <w:t>điểm d khoản 1 Điều 26</w:t>
      </w:r>
      <w:r>
        <w:rPr>
          <w:rFonts w:asciiTheme="majorHAnsi" w:eastAsia="Times New Roman" w:hAnsiTheme="majorHAnsi" w:cstheme="majorHAnsi"/>
          <w:szCs w:val="28"/>
          <w:lang w:val="vi-VN" w:eastAsia="vi-VN"/>
        </w:rPr>
        <w:t xml:space="preserve"> - trường hợp vụ việc được chuyển theo khoản 3 Điều 35;</w:t>
      </w:r>
    </w:p>
    <w:p>
      <w:pPr>
        <w:spacing w:before="120" w:after="120" w:line="240" w:lineRule="auto"/>
        <w:ind w:firstLine="720"/>
        <w:jc w:val="both"/>
        <w:rPr>
          <w:rFonts w:asciiTheme="majorHAnsi" w:eastAsia="Times New Roman" w:hAnsiTheme="majorHAnsi" w:cstheme="majorHAnsi"/>
          <w:szCs w:val="28"/>
          <w:lang w:val="vi-VN" w:eastAsia="vi-VN"/>
        </w:rPr>
      </w:pPr>
      <w:r>
        <w:rPr>
          <w:rFonts w:asciiTheme="majorHAnsi" w:eastAsia="Times New Roman" w:hAnsiTheme="majorHAnsi" w:cstheme="majorHAnsi"/>
          <w:szCs w:val="28"/>
          <w:lang w:val="vi-VN" w:eastAsia="vi-VN"/>
        </w:rPr>
        <w:t xml:space="preserve">9. Sửa đổi, bổ sung </w:t>
      </w:r>
      <w:r>
        <w:rPr>
          <w:rFonts w:asciiTheme="majorHAnsi" w:eastAsia="Times New Roman" w:hAnsiTheme="majorHAnsi" w:cstheme="majorHAnsi"/>
          <w:bCs/>
          <w:szCs w:val="28"/>
          <w:lang w:val="vi-VN" w:eastAsia="vi-VN"/>
        </w:rPr>
        <w:t>Điều 30 - Yêu cầu, thụ lý vụ việc trợ giúp pháp lý</w:t>
      </w:r>
      <w:r>
        <w:rPr>
          <w:rFonts w:asciiTheme="majorHAnsi" w:eastAsia="Times New Roman" w:hAnsiTheme="majorHAnsi" w:cstheme="majorHAnsi"/>
          <w:szCs w:val="28"/>
          <w:lang w:val="vi-VN" w:eastAsia="vi-VN"/>
        </w:rPr>
        <w:t>;</w:t>
      </w:r>
    </w:p>
    <w:p>
      <w:pPr>
        <w:spacing w:before="120" w:after="120" w:line="240" w:lineRule="auto"/>
        <w:ind w:firstLine="720"/>
        <w:jc w:val="both"/>
        <w:rPr>
          <w:rFonts w:asciiTheme="majorHAnsi" w:eastAsia="Times New Roman" w:hAnsiTheme="majorHAnsi" w:cstheme="majorHAnsi"/>
          <w:szCs w:val="28"/>
          <w:lang w:val="vi-VN" w:eastAsia="vi-VN"/>
        </w:rPr>
      </w:pPr>
      <w:r>
        <w:rPr>
          <w:rFonts w:asciiTheme="majorHAnsi" w:eastAsia="Times New Roman" w:hAnsiTheme="majorHAnsi" w:cstheme="majorHAnsi"/>
          <w:szCs w:val="28"/>
          <w:lang w:val="vi-VN" w:eastAsia="vi-VN"/>
        </w:rPr>
        <w:lastRenderedPageBreak/>
        <w:t xml:space="preserve">10. Sửa đổi, bổ sung </w:t>
      </w:r>
      <w:r>
        <w:rPr>
          <w:rFonts w:asciiTheme="majorHAnsi" w:eastAsia="Times New Roman" w:hAnsiTheme="majorHAnsi" w:cstheme="majorHAnsi"/>
          <w:bCs/>
          <w:szCs w:val="28"/>
          <w:lang w:val="vi-VN" w:eastAsia="vi-VN"/>
        </w:rPr>
        <w:t>Điều 32 - Tư vấn pháp luật</w:t>
      </w:r>
      <w:r>
        <w:rPr>
          <w:rFonts w:asciiTheme="majorHAnsi" w:eastAsia="Times New Roman" w:hAnsiTheme="majorHAnsi" w:cstheme="majorHAnsi"/>
          <w:szCs w:val="28"/>
          <w:lang w:val="vi-VN" w:eastAsia="vi-VN"/>
        </w:rPr>
        <w:t>;</w:t>
      </w:r>
    </w:p>
    <w:p>
      <w:pPr>
        <w:spacing w:before="120" w:after="120" w:line="240" w:lineRule="auto"/>
        <w:ind w:firstLine="720"/>
        <w:jc w:val="both"/>
        <w:rPr>
          <w:rFonts w:asciiTheme="majorHAnsi" w:eastAsia="Times New Roman" w:hAnsiTheme="majorHAnsi" w:cstheme="majorHAnsi"/>
          <w:szCs w:val="28"/>
          <w:lang w:val="vi-VN" w:eastAsia="vi-VN"/>
        </w:rPr>
      </w:pPr>
      <w:r>
        <w:rPr>
          <w:rFonts w:asciiTheme="majorHAnsi" w:eastAsia="Times New Roman" w:hAnsiTheme="majorHAnsi" w:cstheme="majorHAnsi"/>
          <w:szCs w:val="28"/>
          <w:lang w:val="vi-VN" w:eastAsia="vi-VN"/>
        </w:rPr>
        <w:t xml:space="preserve">11. Sửa đổi, bổ sung </w:t>
      </w:r>
      <w:r>
        <w:rPr>
          <w:rFonts w:asciiTheme="majorHAnsi" w:eastAsia="Times New Roman" w:hAnsiTheme="majorHAnsi" w:cstheme="majorHAnsi"/>
          <w:bCs/>
          <w:szCs w:val="28"/>
          <w:lang w:val="vi-VN" w:eastAsia="vi-VN"/>
        </w:rPr>
        <w:t>Điều 33 - Đại diện ngoài tố tụng</w:t>
      </w:r>
      <w:r>
        <w:rPr>
          <w:rFonts w:asciiTheme="majorHAnsi" w:eastAsia="Times New Roman" w:hAnsiTheme="majorHAnsi" w:cstheme="majorHAnsi"/>
          <w:szCs w:val="28"/>
          <w:lang w:val="vi-VN" w:eastAsia="vi-VN"/>
        </w:rPr>
        <w:t>;</w:t>
      </w:r>
    </w:p>
    <w:p>
      <w:pPr>
        <w:spacing w:before="120" w:after="120" w:line="240" w:lineRule="auto"/>
        <w:ind w:firstLine="720"/>
        <w:jc w:val="both"/>
        <w:rPr>
          <w:rFonts w:asciiTheme="majorHAnsi" w:eastAsia="Times New Roman" w:hAnsiTheme="majorHAnsi" w:cstheme="majorHAnsi"/>
          <w:szCs w:val="28"/>
          <w:lang w:val="vi-VN" w:eastAsia="vi-VN"/>
        </w:rPr>
      </w:pPr>
      <w:r>
        <w:rPr>
          <w:rFonts w:asciiTheme="majorHAnsi" w:eastAsia="Times New Roman" w:hAnsiTheme="majorHAnsi" w:cstheme="majorHAnsi"/>
          <w:szCs w:val="28"/>
          <w:lang w:val="vi-VN" w:eastAsia="vi-VN"/>
        </w:rPr>
        <w:t xml:space="preserve">12. Sửa đổi, bổ sung </w:t>
      </w:r>
      <w:r>
        <w:rPr>
          <w:rFonts w:asciiTheme="majorHAnsi" w:eastAsia="Times New Roman" w:hAnsiTheme="majorHAnsi" w:cstheme="majorHAnsi"/>
          <w:bCs/>
          <w:szCs w:val="28"/>
          <w:lang w:val="vi-VN" w:eastAsia="vi-VN"/>
        </w:rPr>
        <w:t>Điều 34 - Phối hợp xác minh vụ việc trợ giúp pháp lý</w:t>
      </w:r>
      <w:r>
        <w:rPr>
          <w:rFonts w:asciiTheme="majorHAnsi" w:eastAsia="Times New Roman" w:hAnsiTheme="majorHAnsi" w:cstheme="majorHAnsi"/>
          <w:szCs w:val="28"/>
          <w:lang w:val="vi-VN" w:eastAsia="vi-VN"/>
        </w:rPr>
        <w:t xml:space="preserve">; </w:t>
      </w:r>
    </w:p>
    <w:p>
      <w:pPr>
        <w:spacing w:before="120" w:after="120" w:line="240" w:lineRule="auto"/>
        <w:ind w:firstLine="720"/>
        <w:jc w:val="both"/>
        <w:rPr>
          <w:rFonts w:asciiTheme="majorHAnsi" w:eastAsia="Times New Roman" w:hAnsiTheme="majorHAnsi" w:cstheme="majorHAnsi"/>
          <w:szCs w:val="28"/>
          <w:lang w:val="vi-VN" w:eastAsia="vi-VN"/>
        </w:rPr>
      </w:pPr>
      <w:r>
        <w:rPr>
          <w:rFonts w:asciiTheme="majorHAnsi" w:eastAsia="Times New Roman" w:hAnsiTheme="majorHAnsi" w:cstheme="majorHAnsi"/>
          <w:szCs w:val="28"/>
          <w:lang w:val="vi-VN" w:eastAsia="vi-VN"/>
        </w:rPr>
        <w:t xml:space="preserve">13. Sửa đổi tên Điều và bổ sung khoản 3 </w:t>
      </w:r>
      <w:r>
        <w:rPr>
          <w:rFonts w:asciiTheme="majorHAnsi" w:eastAsia="Times New Roman" w:hAnsiTheme="majorHAnsi" w:cstheme="majorHAnsi"/>
          <w:bCs/>
          <w:szCs w:val="28"/>
          <w:lang w:val="vi-VN" w:eastAsia="vi-VN"/>
        </w:rPr>
        <w:t>Điều 35 - Chuyển yêu cầu, vụ việc trợ giúp pháp lý</w:t>
      </w:r>
      <w:r>
        <w:rPr>
          <w:rFonts w:asciiTheme="majorHAnsi" w:eastAsia="Times New Roman" w:hAnsiTheme="majorHAnsi" w:cstheme="majorHAnsi"/>
          <w:szCs w:val="28"/>
          <w:lang w:val="vi-VN" w:eastAsia="vi-VN"/>
        </w:rPr>
        <w:t>;</w:t>
      </w:r>
    </w:p>
    <w:p>
      <w:pPr>
        <w:spacing w:before="120" w:after="120" w:line="240" w:lineRule="auto"/>
        <w:ind w:firstLine="720"/>
        <w:jc w:val="both"/>
        <w:rPr>
          <w:rFonts w:asciiTheme="majorHAnsi" w:eastAsia="Times New Roman" w:hAnsiTheme="majorHAnsi" w:cstheme="majorHAnsi"/>
          <w:szCs w:val="28"/>
          <w:lang w:val="vi-VN" w:eastAsia="vi-VN"/>
        </w:rPr>
      </w:pPr>
      <w:r>
        <w:rPr>
          <w:rFonts w:asciiTheme="majorHAnsi" w:eastAsia="Times New Roman" w:hAnsiTheme="majorHAnsi" w:cstheme="majorHAnsi"/>
          <w:szCs w:val="28"/>
          <w:lang w:val="vi-VN" w:eastAsia="vi-VN"/>
        </w:rPr>
        <w:t xml:space="preserve">14. Sửa đổi, bổ sung </w:t>
      </w:r>
      <w:r>
        <w:rPr>
          <w:rFonts w:asciiTheme="majorHAnsi" w:eastAsia="Times New Roman" w:hAnsiTheme="majorHAnsi" w:cstheme="majorHAnsi"/>
          <w:bCs/>
          <w:szCs w:val="28"/>
          <w:lang w:val="vi-VN" w:eastAsia="vi-VN"/>
        </w:rPr>
        <w:t>Điều 36 - Kiến nghị trong hoạt động trợ giúp pháp lý</w:t>
      </w:r>
      <w:r>
        <w:rPr>
          <w:rFonts w:asciiTheme="majorHAnsi" w:eastAsia="Times New Roman" w:hAnsiTheme="majorHAnsi" w:cstheme="majorHAnsi"/>
          <w:szCs w:val="28"/>
          <w:lang w:val="vi-VN" w:eastAsia="vi-VN"/>
        </w:rPr>
        <w:t xml:space="preserve">; </w:t>
      </w:r>
    </w:p>
    <w:p>
      <w:pPr>
        <w:spacing w:before="120" w:after="120" w:line="240" w:lineRule="auto"/>
        <w:ind w:firstLine="720"/>
        <w:jc w:val="both"/>
        <w:rPr>
          <w:rFonts w:asciiTheme="majorHAnsi" w:eastAsia="Times New Roman" w:hAnsiTheme="majorHAnsi" w:cstheme="majorHAnsi"/>
          <w:szCs w:val="28"/>
          <w:lang w:val="vi-VN" w:eastAsia="vi-VN"/>
        </w:rPr>
      </w:pPr>
      <w:r>
        <w:rPr>
          <w:rFonts w:asciiTheme="majorHAnsi" w:eastAsia="Times New Roman" w:hAnsiTheme="majorHAnsi" w:cstheme="majorHAnsi"/>
          <w:szCs w:val="28"/>
          <w:lang w:val="vi-VN" w:eastAsia="vi-VN"/>
        </w:rPr>
        <w:t xml:space="preserve">15. Sửa đổi, bổ sung </w:t>
      </w:r>
      <w:r>
        <w:rPr>
          <w:rFonts w:asciiTheme="majorHAnsi" w:eastAsia="Times New Roman" w:hAnsiTheme="majorHAnsi" w:cstheme="majorHAnsi"/>
          <w:bCs/>
          <w:szCs w:val="28"/>
          <w:lang w:val="vi-VN" w:eastAsia="vi-VN"/>
        </w:rPr>
        <w:t>Điều 38 - Hồ sơ vụ việc trợ giúp pháp lý</w:t>
      </w:r>
      <w:r>
        <w:rPr>
          <w:rFonts w:asciiTheme="majorHAnsi" w:eastAsia="Times New Roman" w:hAnsiTheme="majorHAnsi" w:cstheme="majorHAnsi"/>
          <w:szCs w:val="28"/>
          <w:lang w:val="vi-VN" w:eastAsia="vi-VN"/>
        </w:rPr>
        <w:t>;</w:t>
      </w:r>
    </w:p>
    <w:p>
      <w:pPr>
        <w:spacing w:before="120" w:after="120" w:line="240" w:lineRule="auto"/>
        <w:ind w:firstLine="720"/>
        <w:jc w:val="both"/>
        <w:rPr>
          <w:rFonts w:asciiTheme="majorHAnsi" w:eastAsia="Times New Roman" w:hAnsiTheme="majorHAnsi" w:cstheme="majorHAnsi"/>
          <w:szCs w:val="28"/>
          <w:lang w:val="vi-VN" w:eastAsia="vi-VN"/>
        </w:rPr>
      </w:pPr>
      <w:r>
        <w:rPr>
          <w:rFonts w:asciiTheme="majorHAnsi" w:eastAsia="Times New Roman" w:hAnsiTheme="majorHAnsi" w:cstheme="majorHAnsi"/>
          <w:szCs w:val="28"/>
          <w:lang w:val="vi-VN" w:eastAsia="vi-VN"/>
        </w:rPr>
        <w:t xml:space="preserve">16. Sửa đổi, bổ sung một số điểm, khoản của </w:t>
      </w:r>
      <w:r>
        <w:rPr>
          <w:rFonts w:asciiTheme="majorHAnsi" w:eastAsia="Times New Roman" w:hAnsiTheme="majorHAnsi" w:cstheme="majorHAnsi"/>
          <w:bCs/>
          <w:szCs w:val="28"/>
          <w:lang w:val="vi-VN" w:eastAsia="vi-VN"/>
        </w:rPr>
        <w:t>Điều 40</w:t>
      </w:r>
      <w:r>
        <w:rPr>
          <w:rFonts w:asciiTheme="majorHAnsi" w:eastAsia="Times New Roman" w:hAnsiTheme="majorHAnsi" w:cstheme="majorHAnsi"/>
          <w:szCs w:val="28"/>
          <w:lang w:val="vi-VN" w:eastAsia="vi-VN"/>
        </w:rPr>
        <w:t xml:space="preserve"> - các quy định về quản lý nhà nước, chuyển đổi số, cơ sở dữ liệu và trách nhiệm của các cấp chính quyền trong công tác trợ giúp pháp lý;</w:t>
      </w:r>
    </w:p>
    <w:p>
      <w:pPr>
        <w:spacing w:before="120" w:after="120" w:line="240" w:lineRule="auto"/>
        <w:ind w:firstLine="720"/>
        <w:jc w:val="both"/>
        <w:rPr>
          <w:rFonts w:asciiTheme="majorHAnsi" w:eastAsia="Times New Roman" w:hAnsiTheme="majorHAnsi" w:cstheme="majorHAnsi"/>
          <w:szCs w:val="28"/>
          <w:lang w:val="vi-VN" w:eastAsia="vi-VN"/>
        </w:rPr>
      </w:pPr>
      <w:r>
        <w:rPr>
          <w:rFonts w:asciiTheme="majorHAnsi" w:eastAsia="Times New Roman" w:hAnsiTheme="majorHAnsi" w:cstheme="majorHAnsi"/>
          <w:szCs w:val="28"/>
          <w:lang w:val="vi-VN" w:eastAsia="vi-VN"/>
        </w:rPr>
        <w:t xml:space="preserve">17. Sửa đổi, bổ sung </w:t>
      </w:r>
      <w:r>
        <w:rPr>
          <w:rFonts w:asciiTheme="majorHAnsi" w:eastAsia="Times New Roman" w:hAnsiTheme="majorHAnsi" w:cstheme="majorHAnsi"/>
          <w:bCs/>
          <w:szCs w:val="28"/>
          <w:lang w:val="vi-VN" w:eastAsia="vi-VN"/>
        </w:rPr>
        <w:t>Điều 41 - Trách nhiệm của các cơ quan có liên quan đến hoạt động trợ giúp pháp lý trong tố tụng</w:t>
      </w:r>
      <w:r>
        <w:rPr>
          <w:rFonts w:asciiTheme="majorHAnsi" w:eastAsia="Times New Roman" w:hAnsiTheme="majorHAnsi" w:cstheme="majorHAnsi"/>
          <w:szCs w:val="28"/>
          <w:lang w:val="vi-VN" w:eastAsia="vi-VN"/>
        </w:rPr>
        <w:t>;</w:t>
      </w:r>
    </w:p>
    <w:p>
      <w:pPr>
        <w:spacing w:before="120" w:after="120" w:line="240" w:lineRule="auto"/>
        <w:ind w:firstLine="720"/>
        <w:jc w:val="both"/>
        <w:rPr>
          <w:rFonts w:asciiTheme="majorHAnsi" w:eastAsia="Times New Roman" w:hAnsiTheme="majorHAnsi" w:cstheme="majorHAnsi"/>
          <w:szCs w:val="28"/>
          <w:lang w:val="vi-VN" w:eastAsia="vi-VN"/>
        </w:rPr>
      </w:pPr>
      <w:r>
        <w:rPr>
          <w:rFonts w:asciiTheme="majorHAnsi" w:eastAsia="Times New Roman" w:hAnsiTheme="majorHAnsi" w:cstheme="majorHAnsi"/>
          <w:szCs w:val="28"/>
          <w:lang w:val="vi-VN" w:eastAsia="vi-VN"/>
        </w:rPr>
        <w:t xml:space="preserve">18. Sửa đổi, bổ sung </w:t>
      </w:r>
      <w:r>
        <w:rPr>
          <w:rFonts w:asciiTheme="majorHAnsi" w:eastAsia="Times New Roman" w:hAnsiTheme="majorHAnsi" w:cstheme="majorHAnsi"/>
          <w:bCs/>
          <w:szCs w:val="28"/>
          <w:lang w:val="vi-VN" w:eastAsia="vi-VN"/>
        </w:rPr>
        <w:t>Điều 42 - Trách nhiệm của Mặt trận Tổ quốc Việt Nam, các tổ chức thành viên của Mặt trận và các cơ quan nhà nước có liên quan</w:t>
      </w:r>
      <w:r>
        <w:rPr>
          <w:rFonts w:asciiTheme="majorHAnsi" w:eastAsia="Times New Roman" w:hAnsiTheme="majorHAnsi" w:cstheme="majorHAnsi"/>
          <w:szCs w:val="28"/>
          <w:lang w:val="vi-VN" w:eastAsia="vi-VN"/>
        </w:rPr>
        <w:t xml:space="preserve">; </w:t>
      </w:r>
    </w:p>
    <w:p>
      <w:pPr>
        <w:spacing w:before="120" w:after="120" w:line="240" w:lineRule="auto"/>
        <w:ind w:firstLine="720"/>
        <w:jc w:val="both"/>
        <w:rPr>
          <w:rFonts w:asciiTheme="majorHAnsi" w:eastAsia="Times New Roman" w:hAnsiTheme="majorHAnsi" w:cstheme="majorHAnsi"/>
          <w:szCs w:val="28"/>
          <w:lang w:val="vi-VN" w:eastAsia="vi-VN"/>
        </w:rPr>
      </w:pPr>
      <w:r>
        <w:rPr>
          <w:rFonts w:asciiTheme="majorHAnsi" w:eastAsia="Times New Roman" w:hAnsiTheme="majorHAnsi" w:cstheme="majorHAnsi"/>
          <w:szCs w:val="28"/>
          <w:lang w:val="vi-VN" w:eastAsia="vi-VN"/>
        </w:rPr>
        <w:t xml:space="preserve">19. Sửa đổi, bổ sung </w:t>
      </w:r>
      <w:r>
        <w:rPr>
          <w:rFonts w:asciiTheme="majorHAnsi" w:eastAsia="Times New Roman" w:hAnsiTheme="majorHAnsi" w:cstheme="majorHAnsi"/>
          <w:bCs/>
          <w:szCs w:val="28"/>
          <w:lang w:val="vi-VN" w:eastAsia="vi-VN"/>
        </w:rPr>
        <w:t>khoản 2 và khoản 3 Điều 45</w:t>
      </w:r>
      <w:r>
        <w:rPr>
          <w:rFonts w:asciiTheme="majorHAnsi" w:eastAsia="Times New Roman" w:hAnsiTheme="majorHAnsi" w:cstheme="majorHAnsi"/>
          <w:szCs w:val="28"/>
          <w:lang w:val="vi-VN" w:eastAsia="vi-VN"/>
        </w:rPr>
        <w:t xml:space="preserve"> - Giải quyết khiếu nại, khởi kiện trong trợ giúp pháp lý. </w:t>
      </w:r>
    </w:p>
    <w:p>
      <w:pPr>
        <w:spacing w:before="120" w:after="120" w:line="240" w:lineRule="auto"/>
        <w:ind w:firstLine="720"/>
        <w:jc w:val="both"/>
        <w:rPr>
          <w:rFonts w:asciiTheme="majorHAnsi" w:eastAsia="Times New Roman" w:hAnsiTheme="majorHAnsi" w:cstheme="majorHAnsi"/>
          <w:szCs w:val="28"/>
          <w:lang w:val="vi-VN" w:eastAsia="vi-VN"/>
        </w:rPr>
      </w:pPr>
      <w:r>
        <w:rPr>
          <w:rFonts w:asciiTheme="majorHAnsi" w:eastAsia="Times New Roman" w:hAnsiTheme="majorHAnsi" w:cstheme="majorHAnsi"/>
          <w:szCs w:val="28"/>
          <w:lang w:val="vi-VN" w:eastAsia="vi-VN"/>
        </w:rPr>
        <w:t xml:space="preserve">20. </w:t>
      </w:r>
      <w:r>
        <w:rPr>
          <w:rFonts w:asciiTheme="majorHAnsi" w:eastAsia="Times New Roman" w:hAnsiTheme="majorHAnsi" w:cstheme="majorHAnsi"/>
          <w:bCs/>
          <w:szCs w:val="28"/>
          <w:lang w:val="vi-VN" w:eastAsia="vi-VN"/>
        </w:rPr>
        <w:t>Bổ sung, thay thế một số cụm từ, bãi bỏ một số điều</w:t>
      </w:r>
      <w:r>
        <w:rPr>
          <w:rFonts w:asciiTheme="majorHAnsi" w:eastAsia="Times New Roman" w:hAnsiTheme="majorHAnsi" w:cstheme="majorHAnsi"/>
          <w:szCs w:val="28"/>
          <w:lang w:val="vi-VN" w:eastAsia="vi-VN"/>
        </w:rPr>
        <w:t xml:space="preserve">, gồm: </w:t>
      </w:r>
    </w:p>
    <w:p>
      <w:pPr>
        <w:spacing w:before="120" w:after="120" w:line="240" w:lineRule="auto"/>
        <w:ind w:firstLine="720"/>
        <w:jc w:val="both"/>
        <w:rPr>
          <w:rFonts w:asciiTheme="majorHAnsi" w:eastAsia="Times New Roman" w:hAnsiTheme="majorHAnsi" w:cstheme="majorHAnsi"/>
          <w:szCs w:val="28"/>
          <w:lang w:val="vi-VN" w:eastAsia="vi-VN"/>
        </w:rPr>
      </w:pPr>
      <w:r>
        <w:rPr>
          <w:rFonts w:asciiTheme="majorHAnsi" w:eastAsia="Times New Roman" w:hAnsiTheme="majorHAnsi" w:cstheme="majorHAnsi"/>
          <w:szCs w:val="28"/>
          <w:lang w:val="vi-VN" w:eastAsia="vi-VN"/>
        </w:rPr>
        <w:t xml:space="preserve">- Bổ sung cụm từ tại khoản 2 Điều 8; </w:t>
      </w:r>
    </w:p>
    <w:p>
      <w:pPr>
        <w:spacing w:before="120" w:after="120" w:line="240" w:lineRule="auto"/>
        <w:ind w:firstLine="720"/>
        <w:jc w:val="both"/>
        <w:rPr>
          <w:rFonts w:asciiTheme="majorHAnsi" w:eastAsia="Times New Roman" w:hAnsiTheme="majorHAnsi" w:cstheme="majorHAnsi"/>
          <w:szCs w:val="28"/>
          <w:lang w:val="vi-VN" w:eastAsia="vi-VN"/>
        </w:rPr>
      </w:pPr>
      <w:r>
        <w:rPr>
          <w:rFonts w:asciiTheme="majorHAnsi" w:eastAsia="Times New Roman" w:hAnsiTheme="majorHAnsi" w:cstheme="majorHAnsi"/>
          <w:szCs w:val="28"/>
          <w:lang w:val="vi-VN" w:eastAsia="vi-VN"/>
        </w:rPr>
        <w:t xml:space="preserve">- Bổ sung cụm từ tại điểm d khoản 2 Điều 18; </w:t>
      </w:r>
    </w:p>
    <w:p>
      <w:pPr>
        <w:spacing w:before="120" w:after="120" w:line="240" w:lineRule="auto"/>
        <w:ind w:firstLine="720"/>
        <w:jc w:val="both"/>
        <w:rPr>
          <w:rFonts w:asciiTheme="majorHAnsi" w:eastAsia="Times New Roman" w:hAnsiTheme="majorHAnsi" w:cstheme="majorHAnsi"/>
          <w:szCs w:val="28"/>
          <w:lang w:val="vi-VN" w:eastAsia="vi-VN"/>
        </w:rPr>
      </w:pPr>
      <w:r>
        <w:rPr>
          <w:rFonts w:asciiTheme="majorHAnsi" w:eastAsia="Times New Roman" w:hAnsiTheme="majorHAnsi" w:cstheme="majorHAnsi"/>
          <w:szCs w:val="28"/>
          <w:lang w:val="vi-VN" w:eastAsia="vi-VN"/>
        </w:rPr>
        <w:t xml:space="preserve">- Thay “Cổng thông tin điện tử của Bộ Tư pháp” bằng “Cổng Pháp luật quốc gia” tại khoản 2 Điều 10 và khoản 2 Điều 17; </w:t>
      </w:r>
    </w:p>
    <w:p>
      <w:pPr>
        <w:spacing w:before="120" w:after="120" w:line="240" w:lineRule="auto"/>
        <w:ind w:firstLine="720"/>
        <w:jc w:val="both"/>
        <w:rPr>
          <w:rFonts w:asciiTheme="majorHAnsi" w:eastAsia="Times New Roman" w:hAnsiTheme="majorHAnsi" w:cstheme="majorHAnsi"/>
          <w:szCs w:val="28"/>
          <w:lang w:val="vi-VN" w:eastAsia="vi-VN"/>
        </w:rPr>
      </w:pPr>
      <w:r>
        <w:rPr>
          <w:rFonts w:asciiTheme="majorHAnsi" w:eastAsia="Times New Roman" w:hAnsiTheme="majorHAnsi" w:cstheme="majorHAnsi"/>
          <w:szCs w:val="28"/>
          <w:lang w:val="vi-VN" w:eastAsia="vi-VN"/>
        </w:rPr>
        <w:t xml:space="preserve">- </w:t>
      </w:r>
      <w:r>
        <w:rPr>
          <w:rFonts w:asciiTheme="majorHAnsi" w:eastAsia="Times New Roman" w:hAnsiTheme="majorHAnsi" w:cstheme="majorHAnsi"/>
          <w:bCs/>
          <w:szCs w:val="28"/>
          <w:lang w:val="vi-VN" w:eastAsia="vi-VN"/>
        </w:rPr>
        <w:t>Bãi bỏ Điều 23 và Điều 29</w:t>
      </w:r>
      <w:r>
        <w:rPr>
          <w:rFonts w:asciiTheme="majorHAnsi" w:eastAsia="Times New Roman" w:hAnsiTheme="majorHAnsi" w:cstheme="majorHAnsi"/>
          <w:szCs w:val="28"/>
          <w:lang w:val="vi-VN" w:eastAsia="vi-VN"/>
        </w:rPr>
        <w:t xml:space="preserve">. </w:t>
      </w:r>
    </w:p>
    <w:p>
      <w:pPr>
        <w:spacing w:before="120" w:after="120" w:line="240" w:lineRule="auto"/>
        <w:ind w:firstLine="720"/>
        <w:jc w:val="both"/>
        <w:rPr>
          <w:rFonts w:asciiTheme="majorHAnsi" w:eastAsia="Times New Roman" w:hAnsiTheme="majorHAnsi" w:cstheme="majorHAnsi"/>
          <w:i/>
          <w:szCs w:val="28"/>
          <w:lang w:val="vi-VN" w:eastAsia="vi-VN"/>
        </w:rPr>
      </w:pPr>
      <w:r>
        <w:rPr>
          <w:rFonts w:asciiTheme="majorHAnsi" w:eastAsia="Times New Roman" w:hAnsiTheme="majorHAnsi" w:cstheme="majorHAnsi"/>
          <w:b/>
          <w:bCs/>
          <w:i/>
          <w:szCs w:val="28"/>
          <w:lang w:val="vi-VN" w:eastAsia="vi-VN"/>
        </w:rPr>
        <w:t>Điều 2. Sửa đổi, bổ sung một số điều của các luật có liên quan</w:t>
      </w:r>
    </w:p>
    <w:p>
      <w:pPr>
        <w:spacing w:before="120" w:after="120" w:line="240" w:lineRule="auto"/>
        <w:ind w:firstLine="720"/>
        <w:jc w:val="both"/>
        <w:rPr>
          <w:rFonts w:asciiTheme="majorHAnsi" w:eastAsia="Times New Roman" w:hAnsiTheme="majorHAnsi" w:cstheme="majorHAnsi"/>
          <w:szCs w:val="28"/>
          <w:lang w:val="vi-VN" w:eastAsia="vi-VN"/>
        </w:rPr>
      </w:pPr>
      <w:r>
        <w:rPr>
          <w:rFonts w:asciiTheme="majorHAnsi" w:eastAsia="Times New Roman" w:hAnsiTheme="majorHAnsi" w:cstheme="majorHAnsi"/>
          <w:szCs w:val="28"/>
          <w:lang w:val="vi-VN" w:eastAsia="vi-VN"/>
        </w:rPr>
        <w:t xml:space="preserve">1. Bãi bỏ khoản 6 Điều 177 của </w:t>
      </w:r>
      <w:r>
        <w:rPr>
          <w:rFonts w:asciiTheme="majorHAnsi" w:eastAsia="Times New Roman" w:hAnsiTheme="majorHAnsi" w:cstheme="majorHAnsi"/>
          <w:bCs/>
          <w:szCs w:val="28"/>
          <w:lang w:val="vi-VN" w:eastAsia="vi-VN"/>
        </w:rPr>
        <w:t>Luật Tư pháp người chưa thành niên số 59/2024/QH15</w:t>
      </w:r>
      <w:r>
        <w:rPr>
          <w:rFonts w:asciiTheme="majorHAnsi" w:eastAsia="Times New Roman" w:hAnsiTheme="majorHAnsi" w:cstheme="majorHAnsi"/>
          <w:szCs w:val="28"/>
          <w:lang w:val="vi-VN" w:eastAsia="vi-VN"/>
        </w:rPr>
        <w:t xml:space="preserve">, đã được sửa đổi, bổ sung theo Luật số 85/2025/QH15; </w:t>
      </w:r>
    </w:p>
    <w:p>
      <w:pPr>
        <w:spacing w:before="120" w:after="120" w:line="240" w:lineRule="auto"/>
        <w:ind w:firstLine="720"/>
        <w:jc w:val="both"/>
        <w:rPr>
          <w:rFonts w:asciiTheme="majorHAnsi" w:eastAsia="Times New Roman" w:hAnsiTheme="majorHAnsi" w:cstheme="majorHAnsi"/>
          <w:szCs w:val="28"/>
          <w:lang w:val="vi-VN" w:eastAsia="vi-VN"/>
        </w:rPr>
      </w:pPr>
      <w:r>
        <w:rPr>
          <w:rFonts w:asciiTheme="majorHAnsi" w:eastAsia="Times New Roman" w:hAnsiTheme="majorHAnsi" w:cstheme="majorHAnsi"/>
          <w:szCs w:val="28"/>
          <w:lang w:val="vi-VN" w:eastAsia="vi-VN"/>
        </w:rPr>
        <w:t xml:space="preserve">2. Bãi bỏ Điều 61 của </w:t>
      </w:r>
      <w:r>
        <w:rPr>
          <w:rFonts w:asciiTheme="majorHAnsi" w:eastAsia="Times New Roman" w:hAnsiTheme="majorHAnsi" w:cstheme="majorHAnsi"/>
          <w:bCs/>
          <w:szCs w:val="28"/>
          <w:lang w:val="vi-VN" w:eastAsia="vi-VN"/>
        </w:rPr>
        <w:t>Luật Phòng, chống mua bán người số 53/2024/QH15</w:t>
      </w:r>
      <w:r>
        <w:rPr>
          <w:rFonts w:asciiTheme="majorHAnsi" w:eastAsia="Times New Roman" w:hAnsiTheme="majorHAnsi" w:cstheme="majorHAnsi"/>
          <w:szCs w:val="28"/>
          <w:lang w:val="vi-VN" w:eastAsia="vi-VN"/>
        </w:rPr>
        <w:t xml:space="preserve">, đã được sửa đổi, bổ sung theo Luật số 86/2025/QH15. </w:t>
      </w:r>
    </w:p>
    <w:p>
      <w:pPr>
        <w:spacing w:before="120" w:after="120" w:line="240" w:lineRule="auto"/>
        <w:ind w:firstLine="720"/>
        <w:jc w:val="both"/>
        <w:rPr>
          <w:rFonts w:asciiTheme="majorHAnsi" w:eastAsia="Times New Roman" w:hAnsiTheme="majorHAnsi" w:cstheme="majorHAnsi"/>
          <w:b/>
          <w:bCs/>
          <w:i/>
          <w:szCs w:val="28"/>
          <w:lang w:val="vi-VN" w:eastAsia="vi-VN"/>
        </w:rPr>
      </w:pPr>
      <w:r>
        <w:rPr>
          <w:rFonts w:asciiTheme="majorHAnsi" w:eastAsia="Times New Roman" w:hAnsiTheme="majorHAnsi" w:cstheme="majorHAnsi"/>
          <w:b/>
          <w:bCs/>
          <w:i/>
          <w:szCs w:val="28"/>
          <w:lang w:val="vi-VN" w:eastAsia="vi-VN"/>
        </w:rPr>
        <w:t>Điều 3. Hiệu lực thi hành</w:t>
      </w:r>
    </w:p>
    <w:p>
      <w:pPr>
        <w:pStyle w:val="Heading2"/>
        <w:spacing w:before="120" w:after="120"/>
        <w:ind w:firstLine="720"/>
        <w:jc w:val="both"/>
        <w:rPr>
          <w:rFonts w:asciiTheme="majorHAnsi" w:hAnsiTheme="majorHAnsi" w:cstheme="majorHAnsi"/>
          <w:i w:val="0"/>
        </w:rPr>
      </w:pPr>
      <w:r>
        <w:rPr>
          <w:rFonts w:asciiTheme="majorHAnsi" w:hAnsiTheme="majorHAnsi" w:cstheme="majorHAnsi"/>
          <w:i w:val="0"/>
        </w:rPr>
        <w:t xml:space="preserve">II. </w:t>
      </w:r>
      <w:r>
        <w:rPr>
          <w:rFonts w:asciiTheme="majorHAnsi" w:hAnsiTheme="majorHAnsi" w:cstheme="majorHAnsi"/>
          <w:i w:val="0"/>
          <w:lang w:val="en-US"/>
        </w:rPr>
        <w:t>NỘI DUNG</w:t>
      </w:r>
      <w:r>
        <w:rPr>
          <w:rFonts w:asciiTheme="majorHAnsi" w:hAnsiTheme="majorHAnsi" w:cstheme="majorHAnsi"/>
          <w:i w:val="0"/>
        </w:rPr>
        <w:t xml:space="preserve"> CƠ BẢN CỦA LUẬT</w:t>
      </w:r>
    </w:p>
    <w:p>
      <w:pPr>
        <w:spacing w:before="120" w:after="120" w:line="240" w:lineRule="auto"/>
        <w:ind w:firstLine="720"/>
        <w:jc w:val="both"/>
        <w:rPr>
          <w:rFonts w:asciiTheme="majorHAnsi" w:hAnsiTheme="majorHAnsi" w:cstheme="majorHAnsi"/>
          <w:b/>
          <w:szCs w:val="28"/>
          <w:shd w:val="clear" w:color="auto" w:fill="FFFFFF"/>
          <w:lang w:val="vi-VN"/>
        </w:rPr>
      </w:pPr>
      <w:r>
        <w:rPr>
          <w:rFonts w:asciiTheme="majorHAnsi" w:hAnsiTheme="majorHAnsi" w:cstheme="majorHAnsi"/>
          <w:b/>
          <w:szCs w:val="28"/>
          <w:shd w:val="clear" w:color="auto" w:fill="FFFFFF"/>
          <w:lang w:val="es-MX"/>
        </w:rPr>
        <w:t>1. Mở</w:t>
      </w:r>
      <w:r>
        <w:rPr>
          <w:rFonts w:asciiTheme="majorHAnsi" w:hAnsiTheme="majorHAnsi" w:cstheme="majorHAnsi"/>
          <w:b/>
          <w:szCs w:val="28"/>
          <w:shd w:val="clear" w:color="auto" w:fill="FFFFFF"/>
          <w:lang w:val="vi-VN"/>
        </w:rPr>
        <w:t xml:space="preserve"> rộng diện người được TGPL</w:t>
      </w:r>
    </w:p>
    <w:p>
      <w:pPr>
        <w:spacing w:before="120" w:after="120" w:line="240" w:lineRule="auto"/>
        <w:ind w:firstLine="720"/>
        <w:jc w:val="both"/>
        <w:rPr>
          <w:rFonts w:asciiTheme="majorHAnsi" w:hAnsiTheme="majorHAnsi" w:cstheme="majorHAnsi"/>
          <w:bCs/>
          <w:szCs w:val="28"/>
          <w:shd w:val="clear" w:color="auto" w:fill="FFFFFF"/>
          <w:lang w:val="vi-VN"/>
        </w:rPr>
      </w:pPr>
      <w:r>
        <w:rPr>
          <w:rFonts w:asciiTheme="majorHAnsi" w:hAnsiTheme="majorHAnsi" w:cstheme="majorHAnsi"/>
          <w:bCs/>
          <w:szCs w:val="28"/>
          <w:shd w:val="clear" w:color="auto" w:fill="FFFFFF"/>
          <w:lang w:val="vi-VN"/>
        </w:rPr>
        <w:t xml:space="preserve">Đây là nội dung thu hút nhiều sự quan tâm của các cơ quan, tổ chức, cá nhân trong quá trình tham gia góp ý dự thảo Luật sửa đổi. Đây cũng là vấn đề các đại biểu Quốc hội thảo luận nhiều nhất trong quá trình xây dựng Luật. Trải qua nhiều vòng lấy ý kiến, tiếp thu, chỉnh lý ý kiến của các đại biểu Quốc hội, cùng với ý kiến của các cơ quan, tổ chức, cá nhân liên quan, Luật đã cụ thể hoá phương châm cốt lõi trong việc xác định diện người được TGPL là dựa trên những nguyên </w:t>
      </w:r>
      <w:r>
        <w:rPr>
          <w:rFonts w:asciiTheme="majorHAnsi" w:hAnsiTheme="majorHAnsi" w:cstheme="majorHAnsi"/>
          <w:bCs/>
          <w:szCs w:val="28"/>
          <w:shd w:val="clear" w:color="auto" w:fill="FFFFFF"/>
          <w:lang w:val="vi-VN"/>
        </w:rPr>
        <w:lastRenderedPageBreak/>
        <w:t xml:space="preserve">tắc, tiêu chí phù hợp với đường lối, chính sách của Đảng, pháp luật hiện hành và điều kiện kinh tế - xã hội của đất nước; đồng thời, bảo đảm tính khả thi trong tổ chức thực hiện. Theo đó, quy định về người được TGPL trong Luật tiếp tục </w:t>
      </w:r>
      <w:r>
        <w:t xml:space="preserve">tiếp tục kế thừa 06 nhóm được quy định tại Luật </w:t>
      </w:r>
      <w:r>
        <w:rPr>
          <w:rFonts w:asciiTheme="majorHAnsi" w:hAnsiTheme="majorHAnsi" w:cstheme="majorHAnsi"/>
          <w:szCs w:val="28"/>
        </w:rPr>
        <w:t>số 11/2017/QH14</w:t>
      </w:r>
      <w:r>
        <w:rPr>
          <w:rFonts w:asciiTheme="majorHAnsi" w:hAnsiTheme="majorHAnsi" w:cstheme="majorHAnsi"/>
          <w:bCs/>
          <w:szCs w:val="28"/>
          <w:shd w:val="clear" w:color="auto" w:fill="FFFFFF"/>
          <w:lang w:val="vi-VN"/>
        </w:rPr>
        <w:t xml:space="preserve">, sửa đổi 03 nhóm và bổ sung thêm 05 nhóm </w:t>
      </w:r>
      <w:r>
        <w:rPr>
          <w:rFonts w:asciiTheme="majorHAnsi" w:hAnsiTheme="majorHAnsi" w:cstheme="majorHAnsi"/>
          <w:szCs w:val="28"/>
          <w:lang w:val="vi-VN"/>
        </w:rPr>
        <w:t xml:space="preserve">nhằm bảo đảm tốt hơn quyền được TGPL của những người dễ bị tổn thương trong xã hội. Bên cạnh đó, việc xác định diện người được TGPL cũng dựa trên các chính sách xã hội cơ bản ( ví dụ như chính sách giảm nghèo, </w:t>
      </w:r>
      <w:r>
        <w:rPr>
          <w:rFonts w:asciiTheme="majorHAnsi" w:hAnsiTheme="majorHAnsi" w:cstheme="majorHAnsi"/>
          <w:szCs w:val="28"/>
          <w:lang w:val="en-US"/>
        </w:rPr>
        <w:t>c</w:t>
      </w:r>
      <w:r>
        <w:rPr>
          <w:rFonts w:asciiTheme="majorHAnsi" w:hAnsiTheme="majorHAnsi" w:cstheme="majorHAnsi"/>
          <w:szCs w:val="28"/>
          <w:lang w:val="vi-VN"/>
        </w:rPr>
        <w:t>hính sách ưu đãi người có công, chính sách dân tộc…) và điều kiện của đất nước,</w:t>
      </w:r>
      <w:r>
        <w:rPr>
          <w:rFonts w:asciiTheme="majorHAnsi" w:hAnsiTheme="majorHAnsi" w:cstheme="majorHAnsi"/>
          <w:bCs/>
          <w:szCs w:val="28"/>
          <w:shd w:val="clear" w:color="auto" w:fill="FFFFFF"/>
          <w:lang w:val="vi-VN"/>
        </w:rPr>
        <w:t xml:space="preserve"> cụ thể như sau: </w:t>
      </w:r>
    </w:p>
    <w:p>
      <w:pPr>
        <w:spacing w:before="120" w:after="120" w:line="240" w:lineRule="auto"/>
        <w:ind w:firstLine="720"/>
        <w:jc w:val="both"/>
        <w:rPr>
          <w:rFonts w:asciiTheme="majorHAnsi" w:hAnsiTheme="majorHAnsi" w:cstheme="majorHAnsi"/>
          <w:b/>
          <w:i/>
          <w:iCs/>
          <w:szCs w:val="28"/>
          <w:shd w:val="clear" w:color="auto" w:fill="FFFFFF"/>
          <w:lang w:val="vi-VN"/>
        </w:rPr>
      </w:pPr>
      <w:r>
        <w:rPr>
          <w:rFonts w:asciiTheme="majorHAnsi" w:hAnsiTheme="majorHAnsi" w:cstheme="majorHAnsi"/>
          <w:b/>
          <w:i/>
          <w:iCs/>
          <w:szCs w:val="28"/>
          <w:shd w:val="clear" w:color="auto" w:fill="FFFFFF"/>
          <w:lang w:val="vi-VN"/>
        </w:rPr>
        <w:t>- 06 nhóm người được kế thừa hoàn toàn từ quy định hiện hành là:</w:t>
      </w:r>
    </w:p>
    <w:p>
      <w:pPr>
        <w:spacing w:before="120" w:after="120" w:line="240" w:lineRule="auto"/>
        <w:ind w:firstLine="720"/>
        <w:jc w:val="both"/>
        <w:rPr>
          <w:rFonts w:asciiTheme="majorHAnsi" w:hAnsiTheme="majorHAnsi" w:cstheme="majorHAnsi"/>
          <w:bCs/>
          <w:szCs w:val="28"/>
          <w:shd w:val="clear" w:color="auto" w:fill="FFFFFF"/>
          <w:lang w:val="vi-VN"/>
        </w:rPr>
      </w:pPr>
      <w:r>
        <w:rPr>
          <w:rFonts w:asciiTheme="majorHAnsi" w:hAnsiTheme="majorHAnsi" w:cstheme="majorHAnsi"/>
          <w:bCs/>
          <w:szCs w:val="28"/>
          <w:shd w:val="clear" w:color="auto" w:fill="FFFFFF"/>
          <w:lang w:val="vi-VN"/>
        </w:rPr>
        <w:t>+ Người thuộc hộ nghèo;</w:t>
      </w:r>
    </w:p>
    <w:p>
      <w:pPr>
        <w:spacing w:before="120" w:after="120" w:line="240" w:lineRule="auto"/>
        <w:ind w:firstLine="720"/>
        <w:jc w:val="both"/>
        <w:rPr>
          <w:rFonts w:asciiTheme="majorHAnsi" w:hAnsiTheme="majorHAnsi" w:cstheme="majorHAnsi"/>
          <w:bCs/>
          <w:szCs w:val="28"/>
          <w:shd w:val="clear" w:color="auto" w:fill="FFFFFF"/>
          <w:lang w:val="vi-VN"/>
        </w:rPr>
      </w:pPr>
      <w:r>
        <w:rPr>
          <w:rFonts w:asciiTheme="majorHAnsi" w:hAnsiTheme="majorHAnsi" w:cstheme="majorHAnsi"/>
          <w:bCs/>
          <w:szCs w:val="28"/>
          <w:shd w:val="clear" w:color="auto" w:fill="FFFFFF"/>
          <w:lang w:val="vi-VN"/>
        </w:rPr>
        <w:t xml:space="preserve">+  Người có công với cách mạng; </w:t>
      </w:r>
    </w:p>
    <w:p>
      <w:pPr>
        <w:spacing w:before="120" w:after="120" w:line="240" w:lineRule="auto"/>
        <w:ind w:firstLine="720"/>
        <w:jc w:val="both"/>
        <w:rPr>
          <w:rFonts w:asciiTheme="majorHAnsi" w:hAnsiTheme="majorHAnsi" w:cstheme="majorHAnsi"/>
          <w:bCs/>
          <w:szCs w:val="28"/>
          <w:shd w:val="clear" w:color="auto" w:fill="FFFFFF"/>
          <w:lang w:val="vi-VN"/>
        </w:rPr>
      </w:pPr>
      <w:r>
        <w:rPr>
          <w:rFonts w:asciiTheme="majorHAnsi" w:hAnsiTheme="majorHAnsi" w:cstheme="majorHAnsi"/>
          <w:bCs/>
          <w:szCs w:val="28"/>
          <w:shd w:val="clear" w:color="auto" w:fill="FFFFFF"/>
          <w:lang w:val="vi-VN"/>
        </w:rPr>
        <w:t>+ Trẻ em;</w:t>
      </w:r>
    </w:p>
    <w:p>
      <w:pPr>
        <w:spacing w:before="120" w:after="120" w:line="240" w:lineRule="auto"/>
        <w:ind w:firstLine="720"/>
        <w:jc w:val="both"/>
        <w:rPr>
          <w:rFonts w:asciiTheme="majorHAnsi" w:hAnsiTheme="majorHAnsi" w:cstheme="majorHAnsi"/>
          <w:bCs/>
          <w:szCs w:val="28"/>
          <w:shd w:val="clear" w:color="auto" w:fill="FFFFFF"/>
          <w:lang w:val="vi-VN"/>
        </w:rPr>
      </w:pPr>
      <w:r>
        <w:rPr>
          <w:rFonts w:asciiTheme="majorHAnsi" w:hAnsiTheme="majorHAnsi" w:cstheme="majorHAnsi"/>
          <w:bCs/>
          <w:szCs w:val="28"/>
          <w:shd w:val="clear" w:color="auto" w:fill="FFFFFF"/>
          <w:lang w:val="vi-VN"/>
        </w:rPr>
        <w:t>+ Người dân tộc thiểu số cư trú ở vùng có điều kiện kinh tế - xã hội đặc biệt khó khăn;</w:t>
      </w:r>
    </w:p>
    <w:p>
      <w:pPr>
        <w:spacing w:before="120" w:after="120" w:line="240" w:lineRule="auto"/>
        <w:ind w:firstLine="720"/>
        <w:jc w:val="both"/>
        <w:rPr>
          <w:rFonts w:asciiTheme="majorHAnsi" w:hAnsiTheme="majorHAnsi" w:cstheme="majorHAnsi"/>
          <w:bCs/>
          <w:szCs w:val="28"/>
          <w:shd w:val="clear" w:color="auto" w:fill="FFFFFF"/>
          <w:lang w:val="vi-VN"/>
        </w:rPr>
      </w:pPr>
      <w:r>
        <w:rPr>
          <w:rFonts w:asciiTheme="majorHAnsi" w:hAnsiTheme="majorHAnsi" w:cstheme="majorHAnsi"/>
          <w:bCs/>
          <w:szCs w:val="28"/>
          <w:shd w:val="clear" w:color="auto" w:fill="FFFFFF"/>
          <w:lang w:val="vi-VN"/>
        </w:rPr>
        <w:t>+ Người từ đủ 16 tuổi đến dưới 18 tuổi là người bị tố giác, người bị kiến nghị khởi tố, người bị giữ trong trường hợp khẩn cấp, người bị buộc tội, bị hại, người làm chứng, người chấp hành biện pháp xử lý chuyển hướng, phạm nhân theo quy định của Luật Tư pháp người chưa thành niên;</w:t>
      </w:r>
    </w:p>
    <w:p>
      <w:pPr>
        <w:spacing w:before="120" w:after="120" w:line="240" w:lineRule="auto"/>
        <w:ind w:firstLine="720"/>
        <w:jc w:val="both"/>
        <w:rPr>
          <w:rFonts w:asciiTheme="majorHAnsi" w:hAnsiTheme="majorHAnsi" w:cstheme="majorHAnsi"/>
          <w:bCs/>
          <w:szCs w:val="28"/>
          <w:shd w:val="clear" w:color="auto" w:fill="FFFFFF"/>
          <w:lang w:val="vi-VN"/>
        </w:rPr>
      </w:pPr>
      <w:r>
        <w:rPr>
          <w:rFonts w:asciiTheme="majorHAnsi" w:hAnsiTheme="majorHAnsi" w:cstheme="majorHAnsi"/>
          <w:bCs/>
          <w:szCs w:val="28"/>
          <w:shd w:val="clear" w:color="auto" w:fill="FFFFFF"/>
          <w:lang w:val="vi-VN"/>
        </w:rPr>
        <w:t>+ Nạn nhân, người đang trong quá trình xác định là nạn nhân của hành vi mua bán người và người dưới 18 tuổi đi cùng theo quy định của Luật Phòng, chống mua bán người.</w:t>
      </w:r>
    </w:p>
    <w:p>
      <w:pPr>
        <w:spacing w:before="120" w:after="120" w:line="240" w:lineRule="auto"/>
        <w:ind w:firstLine="720"/>
        <w:jc w:val="both"/>
        <w:rPr>
          <w:rFonts w:asciiTheme="majorHAnsi" w:hAnsiTheme="majorHAnsi" w:cstheme="majorHAnsi"/>
          <w:b/>
          <w:i/>
          <w:iCs/>
          <w:szCs w:val="28"/>
          <w:shd w:val="clear" w:color="auto" w:fill="FFFFFF"/>
          <w:lang w:val="vi-VN"/>
        </w:rPr>
      </w:pPr>
      <w:r>
        <w:rPr>
          <w:rFonts w:asciiTheme="majorHAnsi" w:hAnsiTheme="majorHAnsi" w:cstheme="majorHAnsi"/>
          <w:b/>
          <w:i/>
          <w:iCs/>
          <w:szCs w:val="28"/>
          <w:shd w:val="clear" w:color="auto" w:fill="FFFFFF"/>
          <w:lang w:val="vi-VN"/>
        </w:rPr>
        <w:t>- 03 nhóm người được kế thừa và mở rộng theo hướng được TGPL không phụ thuộc vào yếu tố khó khăn tài chính là:</w:t>
      </w:r>
    </w:p>
    <w:p>
      <w:pPr>
        <w:spacing w:before="120" w:after="120" w:line="240" w:lineRule="auto"/>
        <w:ind w:firstLine="720"/>
        <w:jc w:val="both"/>
        <w:rPr>
          <w:rFonts w:asciiTheme="majorHAnsi" w:hAnsiTheme="majorHAnsi" w:cstheme="majorHAnsi"/>
          <w:bCs/>
          <w:szCs w:val="28"/>
          <w:shd w:val="clear" w:color="auto" w:fill="FFFFFF"/>
          <w:lang w:val="vi-VN"/>
        </w:rPr>
      </w:pPr>
      <w:r>
        <w:rPr>
          <w:rFonts w:asciiTheme="majorHAnsi" w:hAnsiTheme="majorHAnsi" w:cstheme="majorHAnsi"/>
          <w:bCs/>
          <w:szCs w:val="28"/>
          <w:shd w:val="clear" w:color="auto" w:fill="FFFFFF"/>
          <w:lang w:val="vi-VN"/>
        </w:rPr>
        <w:t>+ Cha đẻ, mẹ đẻ, vợ, chồng, con của liệt sĩ và người có công nuôi liệt sĩ;</w:t>
      </w:r>
    </w:p>
    <w:p>
      <w:pPr>
        <w:spacing w:before="120" w:after="120" w:line="240" w:lineRule="auto"/>
        <w:ind w:firstLine="720"/>
        <w:jc w:val="both"/>
        <w:rPr>
          <w:rFonts w:asciiTheme="majorHAnsi" w:hAnsiTheme="majorHAnsi" w:cstheme="majorHAnsi"/>
          <w:bCs/>
          <w:szCs w:val="28"/>
          <w:shd w:val="clear" w:color="auto" w:fill="FFFFFF"/>
          <w:lang w:val="vi-VN"/>
        </w:rPr>
      </w:pPr>
      <w:r>
        <w:rPr>
          <w:rFonts w:asciiTheme="majorHAnsi" w:hAnsiTheme="majorHAnsi" w:cstheme="majorHAnsi"/>
          <w:bCs/>
          <w:szCs w:val="28"/>
          <w:shd w:val="clear" w:color="auto" w:fill="FFFFFF"/>
          <w:lang w:val="vi-VN"/>
        </w:rPr>
        <w:t>+ Người nhiễm chất độc da cam;</w:t>
      </w:r>
    </w:p>
    <w:p>
      <w:pPr>
        <w:spacing w:before="120" w:after="120" w:line="240" w:lineRule="auto"/>
        <w:ind w:firstLine="720"/>
        <w:jc w:val="both"/>
        <w:rPr>
          <w:rFonts w:asciiTheme="majorHAnsi" w:hAnsiTheme="majorHAnsi" w:cstheme="majorHAnsi"/>
          <w:bCs/>
          <w:szCs w:val="28"/>
          <w:shd w:val="clear" w:color="auto" w:fill="FFFFFF"/>
          <w:lang w:val="vi-VN"/>
        </w:rPr>
      </w:pPr>
      <w:r>
        <w:rPr>
          <w:rFonts w:asciiTheme="majorHAnsi" w:hAnsiTheme="majorHAnsi" w:cstheme="majorHAnsi"/>
          <w:bCs/>
          <w:szCs w:val="28"/>
          <w:shd w:val="clear" w:color="auto" w:fill="FFFFFF"/>
          <w:lang w:val="vi-VN"/>
        </w:rPr>
        <w:t>+ Người khuyết tật.</w:t>
      </w:r>
    </w:p>
    <w:p>
      <w:pPr>
        <w:spacing w:before="120" w:after="120" w:line="240" w:lineRule="auto"/>
        <w:ind w:firstLine="720"/>
        <w:jc w:val="both"/>
        <w:rPr>
          <w:rFonts w:asciiTheme="majorHAnsi" w:hAnsiTheme="majorHAnsi" w:cstheme="majorHAnsi"/>
          <w:b/>
          <w:i/>
          <w:iCs/>
          <w:szCs w:val="28"/>
          <w:shd w:val="clear" w:color="auto" w:fill="FFFFFF"/>
          <w:lang w:val="vi-VN"/>
        </w:rPr>
      </w:pPr>
      <w:r>
        <w:rPr>
          <w:rFonts w:asciiTheme="majorHAnsi" w:hAnsiTheme="majorHAnsi" w:cstheme="majorHAnsi"/>
          <w:b/>
          <w:i/>
          <w:iCs/>
          <w:szCs w:val="28"/>
          <w:shd w:val="clear" w:color="auto" w:fill="FFFFFF"/>
          <w:lang w:val="vi-VN"/>
        </w:rPr>
        <w:t>- 02 nhóm người không quy định điều kiện có khó khăn về tài chính mà gắn với điều kiện tài chính cụ thể của từng nhóm, là:</w:t>
      </w:r>
    </w:p>
    <w:p>
      <w:pPr>
        <w:spacing w:before="120" w:after="120" w:line="240" w:lineRule="auto"/>
        <w:ind w:firstLine="720"/>
        <w:jc w:val="both"/>
        <w:rPr>
          <w:rFonts w:asciiTheme="majorHAnsi" w:hAnsiTheme="majorHAnsi" w:cstheme="majorHAnsi"/>
          <w:bCs/>
          <w:szCs w:val="28"/>
          <w:shd w:val="clear" w:color="auto" w:fill="FFFFFF"/>
          <w:lang w:val="vi-VN"/>
        </w:rPr>
      </w:pPr>
      <w:r>
        <w:rPr>
          <w:rFonts w:asciiTheme="majorHAnsi" w:hAnsiTheme="majorHAnsi" w:cstheme="majorHAnsi"/>
          <w:bCs/>
          <w:szCs w:val="28"/>
          <w:shd w:val="clear" w:color="auto" w:fill="FFFFFF"/>
          <w:lang w:val="vi-VN"/>
        </w:rPr>
        <w:t>+ Người thuộc hộ cận nghèo;</w:t>
      </w:r>
    </w:p>
    <w:p>
      <w:pPr>
        <w:spacing w:before="120" w:after="120" w:line="240" w:lineRule="auto"/>
        <w:ind w:firstLine="720"/>
        <w:jc w:val="both"/>
        <w:rPr>
          <w:rFonts w:asciiTheme="majorHAnsi" w:hAnsiTheme="majorHAnsi" w:cstheme="majorHAnsi"/>
          <w:bCs/>
          <w:szCs w:val="28"/>
          <w:shd w:val="clear" w:color="auto" w:fill="FFFFFF"/>
          <w:lang w:val="vi-VN"/>
        </w:rPr>
      </w:pPr>
      <w:r>
        <w:rPr>
          <w:rFonts w:asciiTheme="majorHAnsi" w:hAnsiTheme="majorHAnsi" w:cstheme="majorHAnsi"/>
          <w:bCs/>
          <w:szCs w:val="28"/>
          <w:shd w:val="clear" w:color="auto" w:fill="FFFFFF"/>
          <w:lang w:val="vi-VN"/>
        </w:rPr>
        <w:t>+ Người được hưởng trợ cấp xã hội hằng tháng là người cao tuổi, người bị bạo lực trong vụ việc bạo lực gia đình, người nhiễm HIV.</w:t>
      </w:r>
    </w:p>
    <w:p>
      <w:pPr>
        <w:spacing w:before="120" w:after="120" w:line="240" w:lineRule="auto"/>
        <w:ind w:firstLine="720"/>
        <w:jc w:val="both"/>
        <w:rPr>
          <w:rFonts w:asciiTheme="majorHAnsi" w:hAnsiTheme="majorHAnsi" w:cstheme="majorHAnsi"/>
          <w:b/>
          <w:i/>
          <w:iCs/>
          <w:szCs w:val="28"/>
          <w:shd w:val="clear" w:color="auto" w:fill="FFFFFF"/>
          <w:lang w:val="vi-VN"/>
        </w:rPr>
      </w:pPr>
      <w:r>
        <w:rPr>
          <w:rFonts w:asciiTheme="majorHAnsi" w:hAnsiTheme="majorHAnsi" w:cstheme="majorHAnsi"/>
          <w:b/>
          <w:i/>
          <w:iCs/>
          <w:szCs w:val="28"/>
          <w:shd w:val="clear" w:color="auto" w:fill="FFFFFF"/>
          <w:lang w:val="vi-VN"/>
        </w:rPr>
        <w:t>- 05 nhóm người được bổ sung mới hoàn toàn là:</w:t>
      </w:r>
    </w:p>
    <w:p>
      <w:pPr>
        <w:spacing w:before="120" w:after="120" w:line="240" w:lineRule="auto"/>
        <w:ind w:firstLine="720"/>
        <w:jc w:val="both"/>
        <w:rPr>
          <w:rFonts w:asciiTheme="majorHAnsi" w:hAnsiTheme="majorHAnsi" w:cstheme="majorHAnsi"/>
          <w:bCs/>
          <w:szCs w:val="28"/>
          <w:shd w:val="clear" w:color="auto" w:fill="FFFFFF"/>
          <w:lang w:val="vi-VN"/>
        </w:rPr>
      </w:pPr>
      <w:r>
        <w:rPr>
          <w:rFonts w:asciiTheme="majorHAnsi" w:hAnsiTheme="majorHAnsi" w:cstheme="majorHAnsi"/>
          <w:bCs/>
          <w:szCs w:val="28"/>
          <w:shd w:val="clear" w:color="auto" w:fill="FFFFFF"/>
          <w:lang w:val="vi-VN"/>
        </w:rPr>
        <w:t>+ Người dân tộc thiểu số rất ít người;</w:t>
      </w:r>
    </w:p>
    <w:p>
      <w:pPr>
        <w:spacing w:before="120" w:after="120" w:line="240" w:lineRule="auto"/>
        <w:ind w:firstLine="720"/>
        <w:jc w:val="both"/>
        <w:rPr>
          <w:rFonts w:asciiTheme="majorHAnsi" w:hAnsiTheme="majorHAnsi" w:cstheme="majorHAnsi"/>
          <w:bCs/>
          <w:szCs w:val="28"/>
          <w:shd w:val="clear" w:color="auto" w:fill="FFFFFF"/>
          <w:lang w:val="vi-VN"/>
        </w:rPr>
      </w:pPr>
      <w:r>
        <w:rPr>
          <w:rFonts w:asciiTheme="majorHAnsi" w:hAnsiTheme="majorHAnsi" w:cstheme="majorHAnsi"/>
          <w:bCs/>
          <w:szCs w:val="28"/>
          <w:shd w:val="clear" w:color="auto" w:fill="FFFFFF"/>
          <w:lang w:val="vi-VN"/>
        </w:rPr>
        <w:t>+ Người lao động có thu nhập thấp là người bị buộc tội, bị hại;</w:t>
      </w:r>
    </w:p>
    <w:p>
      <w:pPr>
        <w:spacing w:before="120" w:after="120" w:line="240" w:lineRule="auto"/>
        <w:ind w:firstLine="720"/>
        <w:jc w:val="both"/>
        <w:rPr>
          <w:rFonts w:asciiTheme="majorHAnsi" w:hAnsiTheme="majorHAnsi" w:cstheme="majorHAnsi"/>
          <w:bCs/>
          <w:szCs w:val="28"/>
          <w:shd w:val="clear" w:color="auto" w:fill="FFFFFF"/>
          <w:lang w:val="vi-VN"/>
        </w:rPr>
      </w:pPr>
      <w:r>
        <w:rPr>
          <w:rFonts w:asciiTheme="majorHAnsi" w:hAnsiTheme="majorHAnsi" w:cstheme="majorHAnsi"/>
          <w:bCs/>
          <w:szCs w:val="28"/>
          <w:shd w:val="clear" w:color="auto" w:fill="FFFFFF"/>
          <w:lang w:val="vi-VN"/>
        </w:rPr>
        <w:lastRenderedPageBreak/>
        <w:t>+ Người có khó khăn đột xuất do gặp thiên tai hoặc hỏa hoạn được TGPL trong vụ việc liên quan trực tiếp đến khắc phục hậu quả xảy ra với họ bởi các sự kiện này;</w:t>
      </w:r>
    </w:p>
    <w:p>
      <w:pPr>
        <w:spacing w:before="120" w:after="120" w:line="240" w:lineRule="auto"/>
        <w:ind w:firstLine="720"/>
        <w:jc w:val="both"/>
        <w:rPr>
          <w:rFonts w:asciiTheme="majorHAnsi" w:hAnsiTheme="majorHAnsi" w:cstheme="majorHAnsi"/>
          <w:bCs/>
          <w:szCs w:val="28"/>
          <w:shd w:val="clear" w:color="auto" w:fill="FFFFFF"/>
          <w:lang w:val="vi-VN"/>
        </w:rPr>
      </w:pPr>
      <w:r>
        <w:rPr>
          <w:rFonts w:asciiTheme="majorHAnsi" w:hAnsiTheme="majorHAnsi" w:cstheme="majorHAnsi"/>
          <w:bCs/>
          <w:szCs w:val="28"/>
          <w:shd w:val="clear" w:color="auto" w:fill="FFFFFF"/>
          <w:lang w:val="vi-VN"/>
        </w:rPr>
        <w:t>+ Cá nhân bị thiệt hại mà không thuê người bảo vệ quyền và lợi ích hợp pháp theo quy định của Luật Trách nhiệm bồi thường của Nhà nước;</w:t>
      </w:r>
    </w:p>
    <w:p>
      <w:pPr>
        <w:spacing w:before="120" w:after="120" w:line="240" w:lineRule="auto"/>
        <w:ind w:firstLine="720"/>
        <w:jc w:val="both"/>
        <w:rPr>
          <w:rFonts w:asciiTheme="majorHAnsi" w:hAnsiTheme="majorHAnsi" w:cstheme="majorHAnsi"/>
          <w:bCs/>
          <w:szCs w:val="28"/>
          <w:shd w:val="clear" w:color="auto" w:fill="FFFFFF"/>
          <w:lang w:val="vi-VN"/>
        </w:rPr>
      </w:pPr>
      <w:r>
        <w:rPr>
          <w:rFonts w:asciiTheme="majorHAnsi" w:hAnsiTheme="majorHAnsi" w:cstheme="majorHAnsi"/>
          <w:bCs/>
          <w:szCs w:val="28"/>
          <w:shd w:val="clear" w:color="auto" w:fill="FFFFFF"/>
          <w:lang w:val="vi-VN"/>
        </w:rPr>
        <w:t>+ Người nước ngoài theo điều ước quốc tế mà nước Cộng hòa xã hội chủ nghĩa Việt Nam là thành viên có quy định được TGPL.</w:t>
      </w:r>
    </w:p>
    <w:p>
      <w:pPr>
        <w:spacing w:before="120" w:after="120" w:line="240" w:lineRule="auto"/>
        <w:ind w:firstLine="720"/>
        <w:jc w:val="both"/>
        <w:rPr>
          <w:rFonts w:asciiTheme="majorHAnsi" w:hAnsiTheme="majorHAnsi" w:cstheme="majorHAnsi"/>
          <w:bCs/>
          <w:szCs w:val="28"/>
          <w:shd w:val="clear" w:color="auto" w:fill="FFFFFF"/>
          <w:lang w:val="vi-VN"/>
        </w:rPr>
      </w:pPr>
      <w:r>
        <w:rPr>
          <w:rFonts w:asciiTheme="majorHAnsi" w:hAnsiTheme="majorHAnsi" w:cstheme="majorHAnsi"/>
          <w:bCs/>
          <w:szCs w:val="28"/>
          <w:shd w:val="clear" w:color="auto" w:fill="FFFFFF"/>
          <w:lang w:val="vi-VN"/>
        </w:rPr>
        <w:t>Ngoài ra, Luật TGPL bổ sung quy định “</w:t>
      </w:r>
      <w:r>
        <w:rPr>
          <w:rFonts w:asciiTheme="majorHAnsi" w:hAnsiTheme="majorHAnsi" w:cstheme="majorHAnsi"/>
          <w:bCs/>
          <w:i/>
          <w:iCs/>
          <w:szCs w:val="28"/>
          <w:shd w:val="clear" w:color="auto" w:fill="FFFFFF"/>
          <w:lang w:val="vi-VN"/>
        </w:rPr>
        <w:t>Người được TGPL khác theo quy định của pháp luật”</w:t>
      </w:r>
      <w:r>
        <w:rPr>
          <w:rFonts w:asciiTheme="majorHAnsi" w:hAnsiTheme="majorHAnsi" w:cstheme="majorHAnsi"/>
          <w:bCs/>
          <w:szCs w:val="28"/>
          <w:shd w:val="clear" w:color="auto" w:fill="FFFFFF"/>
          <w:lang w:val="vi-VN"/>
        </w:rPr>
        <w:t xml:space="preserve"> nhằm tạo sự linh hoạt, bảo đảm khả năng bao quát các đối tượng được TGPL phát sinh trong tương lai. </w:t>
      </w:r>
    </w:p>
    <w:p>
      <w:pPr>
        <w:spacing w:before="120" w:after="120" w:line="240" w:lineRule="auto"/>
        <w:ind w:firstLine="720"/>
        <w:jc w:val="both"/>
        <w:rPr>
          <w:rFonts w:asciiTheme="majorHAnsi" w:hAnsiTheme="majorHAnsi" w:cstheme="majorHAnsi"/>
          <w:bCs/>
          <w:szCs w:val="28"/>
          <w:shd w:val="clear" w:color="auto" w:fill="FFFFFF"/>
          <w:lang w:val="vi-VN"/>
        </w:rPr>
      </w:pPr>
      <w:r>
        <w:rPr>
          <w:rFonts w:asciiTheme="majorHAnsi" w:hAnsiTheme="majorHAnsi" w:cstheme="majorHAnsi"/>
          <w:bCs/>
          <w:szCs w:val="28"/>
          <w:shd w:val="clear" w:color="auto" w:fill="FFFFFF"/>
          <w:lang w:val="vi-VN"/>
        </w:rPr>
        <w:t>Có thể thấy việc bổ sung các nhóm đối tượng mới và mở rộng một số nhóm theo hướng không phụ thuộc vào điều kiện tài chính đã góp phần mở rộng cơ hội tiếp cận công lý, bảo đảm TGPL kịp thời cho những trường hợp thực sự cần TGPL trong thực tiễn. Qua đó, Luật TGPL tiếp tục khẳng định vai trò là công cụ pháp lý quan trọng bảo đảm công bằng xã hội, thực hiện quyền con người, quyền công dân, đáp ứng yêu cầu phát triển của đất nước trong giai đoạn mới.</w:t>
      </w:r>
    </w:p>
    <w:p>
      <w:pPr>
        <w:spacing w:before="120" w:after="120" w:line="240" w:lineRule="auto"/>
        <w:ind w:firstLine="720"/>
        <w:jc w:val="both"/>
        <w:rPr>
          <w:rFonts w:asciiTheme="majorHAnsi" w:hAnsiTheme="majorHAnsi" w:cstheme="majorHAnsi"/>
          <w:b/>
          <w:szCs w:val="28"/>
          <w:shd w:val="clear" w:color="auto" w:fill="FFFFFF"/>
          <w:lang w:val="vi-VN"/>
        </w:rPr>
      </w:pPr>
      <w:r>
        <w:rPr>
          <w:rFonts w:asciiTheme="majorHAnsi" w:hAnsiTheme="majorHAnsi" w:cstheme="majorHAnsi"/>
          <w:b/>
          <w:szCs w:val="28"/>
          <w:shd w:val="clear" w:color="auto" w:fill="FFFFFF"/>
          <w:lang w:val="vi-VN"/>
        </w:rPr>
        <w:t>2. Luật hóa cơ chế trực TGPL tại Toà án nhân dân và trong điều tra hình sự, cơ chế phối hợp liên ngành về TGPL trong hoạt động tố tụng</w:t>
      </w:r>
    </w:p>
    <w:p>
      <w:pPr>
        <w:spacing w:before="120" w:after="120" w:line="240" w:lineRule="auto"/>
        <w:ind w:firstLine="720"/>
        <w:jc w:val="both"/>
        <w:rPr>
          <w:rFonts w:asciiTheme="majorHAnsi" w:hAnsiTheme="majorHAnsi" w:cstheme="majorHAnsi"/>
          <w:bCs/>
          <w:szCs w:val="28"/>
          <w:shd w:val="clear" w:color="auto" w:fill="FFFFFF"/>
          <w:lang w:val="vi-VN"/>
        </w:rPr>
      </w:pPr>
      <w:r>
        <w:rPr>
          <w:rFonts w:asciiTheme="majorHAnsi" w:hAnsiTheme="majorHAnsi" w:cstheme="majorHAnsi"/>
          <w:bCs/>
          <w:szCs w:val="28"/>
          <w:shd w:val="clear" w:color="auto" w:fill="FFFFFF"/>
          <w:lang w:val="vi-VN"/>
        </w:rPr>
        <w:t xml:space="preserve">Một trong những điểm mới đáng chú ý của Luật là luật hóa cơ chế trực TGPL tại Toà án nhân dân, trực TGPL trong điều tra hình sự và cơ chế phối hợp liên ngành về TGPL trong hoạt động tố tụng, qua đó nâng tầm các cơ chế đang được vận hành hiệu quả trong thực tiễn lên thành quy định có giá trị pháp lý cao trong văn bản luật. Cụ thể, Điều 41 sửa đổi, bổ sung quy định: </w:t>
      </w:r>
    </w:p>
    <w:p>
      <w:pPr>
        <w:spacing w:before="120" w:after="120" w:line="240" w:lineRule="auto"/>
        <w:ind w:firstLine="720"/>
        <w:jc w:val="both"/>
        <w:rPr>
          <w:rFonts w:asciiTheme="majorHAnsi" w:hAnsiTheme="majorHAnsi" w:cstheme="majorHAnsi"/>
          <w:i/>
          <w:iCs/>
          <w:szCs w:val="28"/>
          <w:lang w:val="vi-VN"/>
        </w:rPr>
      </w:pPr>
      <w:r>
        <w:rPr>
          <w:rFonts w:asciiTheme="majorHAnsi" w:hAnsiTheme="majorHAnsi" w:cstheme="majorHAnsi"/>
          <w:i/>
          <w:iCs/>
          <w:szCs w:val="28"/>
          <w:lang w:val="vi-VN"/>
        </w:rPr>
        <w:t>“</w:t>
      </w:r>
      <w:r>
        <w:rPr>
          <w:rFonts w:asciiTheme="majorHAnsi" w:hAnsiTheme="majorHAnsi" w:cstheme="majorHAnsi"/>
          <w:b/>
          <w:bCs/>
          <w:i/>
          <w:iCs/>
          <w:szCs w:val="28"/>
          <w:lang w:val="vi-VN"/>
        </w:rPr>
        <w:t>Điều 41. Trách nhiệm của các cơ quan có liên quan đến hoạt động trợ giúp pháp lý trong tố tụng</w:t>
      </w:r>
    </w:p>
    <w:p>
      <w:pPr>
        <w:spacing w:before="120" w:after="120" w:line="240" w:lineRule="auto"/>
        <w:ind w:firstLine="720"/>
        <w:jc w:val="both"/>
        <w:rPr>
          <w:rFonts w:asciiTheme="majorHAnsi" w:hAnsiTheme="majorHAnsi" w:cstheme="majorHAnsi"/>
          <w:i/>
          <w:iCs/>
          <w:szCs w:val="28"/>
          <w:lang w:val="vi-VN"/>
        </w:rPr>
      </w:pPr>
      <w:r>
        <w:rPr>
          <w:rFonts w:asciiTheme="majorHAnsi" w:hAnsiTheme="majorHAnsi" w:cstheme="majorHAnsi"/>
          <w:i/>
          <w:iCs/>
          <w:szCs w:val="28"/>
          <w:lang w:val="vi-VN"/>
        </w:rPr>
        <w:t xml:space="preserve">1. Trong phạm vi nhiệm vụ, quyền hạn của mình, cơ quan có thẩm quyền tiến hành tố tụng, cơ quan tiến hành tố tụng có trách nhiệm phối hợp và tổ chức phối hợp thực hiện cơ chế liên ngành, trực TGPL tại Tòa án nhân dân và trong điều tra hình sự; tạo điều kiện cho người được TGPL được hưởng quyền TGPL, </w:t>
      </w:r>
      <w:r>
        <w:rPr>
          <w:rFonts w:asciiTheme="majorHAnsi" w:hAnsiTheme="majorHAnsi" w:cstheme="majorHAnsi"/>
          <w:i/>
          <w:iCs/>
          <w:spacing w:val="-6"/>
          <w:szCs w:val="28"/>
          <w:lang w:val="vi-VN"/>
        </w:rPr>
        <w:t>tạo điều kiện cho người thực hiện TGPL tham gia tố tụng theo quy định của pháp luật.</w:t>
      </w:r>
    </w:p>
    <w:p>
      <w:pPr>
        <w:spacing w:before="120" w:after="120" w:line="240" w:lineRule="auto"/>
        <w:ind w:firstLine="720"/>
        <w:jc w:val="both"/>
        <w:rPr>
          <w:rFonts w:asciiTheme="majorHAnsi" w:hAnsiTheme="majorHAnsi" w:cstheme="majorHAnsi"/>
          <w:i/>
          <w:iCs/>
          <w:szCs w:val="28"/>
          <w:lang w:val="vi-VN"/>
        </w:rPr>
      </w:pPr>
      <w:r>
        <w:rPr>
          <w:rFonts w:asciiTheme="majorHAnsi" w:hAnsiTheme="majorHAnsi" w:cstheme="majorHAnsi"/>
          <w:i/>
          <w:iCs/>
          <w:szCs w:val="28"/>
          <w:lang w:val="vi-VN"/>
        </w:rPr>
        <w:t xml:space="preserve">2. Bộ trưởng Bộ Tư pháp, Chánh án Tòa án nhân dân tối cao, Viện trưởng Viện kiểm sát nhân dân tối cao, Bộ trưởng Bộ Quốc phòng, Bộ trưởng Bộ Công an, Bộ trưởng Bộ Tài chính phối hợp xây dựng cơ chế hội đồng phối hợp liên ngành về TGPL trong hoạt động tố tụng ở Trung ương và cấp tỉnh. </w:t>
      </w:r>
    </w:p>
    <w:p>
      <w:pPr>
        <w:spacing w:before="120" w:after="120" w:line="240" w:lineRule="auto"/>
        <w:ind w:firstLine="720"/>
        <w:jc w:val="both"/>
        <w:rPr>
          <w:rFonts w:asciiTheme="majorHAnsi" w:hAnsiTheme="majorHAnsi" w:cstheme="majorHAnsi"/>
          <w:i/>
          <w:iCs/>
          <w:szCs w:val="28"/>
          <w:lang w:val="vi-VN"/>
        </w:rPr>
      </w:pPr>
      <w:r>
        <w:rPr>
          <w:rFonts w:asciiTheme="majorHAnsi" w:hAnsiTheme="majorHAnsi" w:cstheme="majorHAnsi"/>
          <w:i/>
          <w:iCs/>
          <w:szCs w:val="28"/>
          <w:lang w:val="vi-VN"/>
        </w:rPr>
        <w:t>3. Các cơ quan có liên quan đến hoạt động TGPL trong tố tụng có trách nhiệm phối hợp với Bộ Tư pháp trong việc tạo lập, tích hợp, chia sẻ, khai thác và sử dụng dữ liệu thông qua kết nối, liên thông với cơ sở dữ liệu TGPL trên Cổng Pháp luật quốc gia.”.</w:t>
      </w:r>
    </w:p>
    <w:p>
      <w:pPr>
        <w:spacing w:before="120" w:after="120" w:line="240" w:lineRule="auto"/>
        <w:ind w:firstLine="720"/>
        <w:jc w:val="both"/>
        <w:rPr>
          <w:rFonts w:asciiTheme="majorHAnsi" w:hAnsiTheme="majorHAnsi" w:cstheme="majorHAnsi"/>
          <w:bCs/>
          <w:szCs w:val="28"/>
          <w:shd w:val="clear" w:color="auto" w:fill="FFFFFF"/>
          <w:lang w:val="vi-VN"/>
        </w:rPr>
      </w:pPr>
      <w:r>
        <w:rPr>
          <w:rFonts w:asciiTheme="majorHAnsi" w:hAnsiTheme="majorHAnsi" w:cstheme="majorHAnsi"/>
          <w:bCs/>
          <w:szCs w:val="28"/>
          <w:shd w:val="clear" w:color="auto" w:fill="FFFFFF"/>
          <w:lang w:val="vi-VN"/>
        </w:rPr>
        <w:t xml:space="preserve">Thực tế gần 20 năm qua cho thấy, cơ chế phối hợp giữa các cơ quan tiến hành tố tụng và tổ chức thực hiện TGPL đã góp phần bảo đảm người thuộc diện </w:t>
      </w:r>
      <w:r>
        <w:rPr>
          <w:rFonts w:asciiTheme="majorHAnsi" w:hAnsiTheme="majorHAnsi" w:cstheme="majorHAnsi"/>
          <w:bCs/>
          <w:szCs w:val="28"/>
          <w:shd w:val="clear" w:color="auto" w:fill="FFFFFF"/>
          <w:lang w:val="vi-VN"/>
        </w:rPr>
        <w:lastRenderedPageBreak/>
        <w:t>được TGPL có thể tiếp cận dịch vụ kịp thời ngay từ giai đoạn đầu của quá trình tố tụng, nhằm hạn chế bỏ sót đối tượng và nâng cao chất lượng giải quyết vụ việc.</w:t>
      </w:r>
    </w:p>
    <w:p>
      <w:pPr>
        <w:spacing w:before="120" w:after="120" w:line="240" w:lineRule="auto"/>
        <w:ind w:firstLine="720"/>
        <w:jc w:val="both"/>
        <w:rPr>
          <w:rFonts w:asciiTheme="majorHAnsi" w:hAnsiTheme="majorHAnsi" w:cstheme="majorHAnsi"/>
          <w:bCs/>
          <w:szCs w:val="28"/>
          <w:shd w:val="clear" w:color="auto" w:fill="FFFFFF"/>
          <w:lang w:val="vi-VN"/>
        </w:rPr>
      </w:pPr>
      <w:r>
        <w:rPr>
          <w:rFonts w:asciiTheme="majorHAnsi" w:hAnsiTheme="majorHAnsi" w:cstheme="majorHAnsi"/>
          <w:bCs/>
          <w:szCs w:val="28"/>
          <w:shd w:val="clear" w:color="auto" w:fill="FFFFFF"/>
          <w:lang w:val="vi-VN"/>
        </w:rPr>
        <w:t>Việc luật hóa cơ chế trực TGPL tại Toà án nhân dân, trực TGPL trong điều tra hình sự và cơ chế hội đồng phối hợp liên ngành mang lại nhiều lợi ích thiết thực: trước hết, nâng cao giá trị pháp lý, bảo đảm tính ổn định, thống nhất và lâu dài của cơ chế phối hợp; đồng thời tăng cường trách nhiệm của các cơ quan tiến hành tố tụng (vốn có tính độc lập cao trong hoạt động nghề nghiệp) và các cơ quan liên quan trong việc bảo đảm quyền được TGPL. Bên cạnh đó, việc luật hoá các quy chế này còn tạo điều kiện để Quốc hội thực hiện chức năng giám sát, bảo đảm cơ chế này được triển khai nghiêm túc, hiệu quả trên phạm vi toàn quốc. Qua đó, Luật không chỉ củng cố một thiết chế phối hợp liên ngành có tính pháp lý cao, vận hành xuyên suốt từ Trung ương đến địa phương, mà còn góp phần nâng cao chất lượng TGPL trong tố tụng, bảo đảm tốt hơn quyền tiếp cận công lý của người dân, đặc biệt là các nhóm yếu thế trong xã hội.</w:t>
      </w:r>
    </w:p>
    <w:p>
      <w:pPr>
        <w:spacing w:before="120" w:after="120" w:line="240" w:lineRule="auto"/>
        <w:ind w:firstLine="720"/>
        <w:jc w:val="both"/>
        <w:rPr>
          <w:rFonts w:asciiTheme="majorHAnsi" w:hAnsiTheme="majorHAnsi" w:cstheme="majorHAnsi"/>
          <w:b/>
          <w:szCs w:val="28"/>
          <w:shd w:val="clear" w:color="auto" w:fill="FFFFFF"/>
          <w:lang w:val="vi-VN"/>
        </w:rPr>
      </w:pPr>
      <w:r>
        <w:rPr>
          <w:rFonts w:asciiTheme="majorHAnsi" w:hAnsiTheme="majorHAnsi" w:cstheme="majorHAnsi"/>
          <w:b/>
          <w:szCs w:val="28"/>
          <w:shd w:val="clear" w:color="auto" w:fill="FFFFFF"/>
          <w:lang w:val="vi-VN"/>
        </w:rPr>
        <w:t>3. Không còn quy định giới hạn điều kiện đối với việc thành lập Chi nhánh của Trung tâm TGPL  nhà nước</w:t>
      </w:r>
    </w:p>
    <w:p>
      <w:pPr>
        <w:spacing w:before="120" w:after="120" w:line="240" w:lineRule="auto"/>
        <w:ind w:firstLine="720"/>
        <w:jc w:val="both"/>
        <w:rPr>
          <w:rFonts w:asciiTheme="majorHAnsi" w:hAnsiTheme="majorHAnsi" w:cstheme="majorHAnsi"/>
          <w:bCs/>
          <w:szCs w:val="28"/>
          <w:shd w:val="clear" w:color="auto" w:fill="FFFFFF"/>
          <w:lang w:val="vi-VN"/>
        </w:rPr>
      </w:pPr>
      <w:r>
        <w:rPr>
          <w:rFonts w:asciiTheme="majorHAnsi" w:hAnsiTheme="majorHAnsi" w:cstheme="majorHAnsi"/>
          <w:bCs/>
          <w:szCs w:val="28"/>
          <w:shd w:val="clear" w:color="auto" w:fill="FFFFFF"/>
          <w:lang w:val="vi-VN"/>
        </w:rPr>
        <w:t xml:space="preserve">Để phù hợp với mô hình chính quyền địa phương hai cấp và thực hiện chủ trương phân cấp, phân quyền mạnh mẽ cho địa phương, Luật đã bỏ quy định về điều kiện địa bàn thành lập Chi nhánh của Trung tâm TGPL nhà nước ở </w:t>
      </w:r>
      <w:r>
        <w:rPr>
          <w:rFonts w:asciiTheme="majorHAnsi" w:hAnsiTheme="majorHAnsi" w:cstheme="majorHAnsi"/>
          <w:bCs/>
          <w:i/>
          <w:iCs/>
          <w:szCs w:val="28"/>
          <w:shd w:val="clear" w:color="auto" w:fill="FFFFFF"/>
          <w:lang w:val="vi-VN"/>
        </w:rPr>
        <w:t>“các huyện ở vùng có điều kiện kinh tế - xã hội đặc biệt khó khăn, giao thông không thuận tiện, chưa có tổ chức hành nghề luật sư hoặc tổ chức tư vấn pháp luật tham gia TGPL”.</w:t>
      </w:r>
      <w:r>
        <w:rPr>
          <w:rFonts w:asciiTheme="majorHAnsi" w:hAnsiTheme="majorHAnsi" w:cstheme="majorHAnsi"/>
          <w:bCs/>
          <w:szCs w:val="28"/>
          <w:shd w:val="clear" w:color="auto" w:fill="FFFFFF"/>
          <w:lang w:val="vi-VN"/>
        </w:rPr>
        <w:t xml:space="preserve"> Theo đó điều kiện thành lập Chi nhánh được quy định theo hướng mở, đó là </w:t>
      </w:r>
      <w:r>
        <w:rPr>
          <w:rFonts w:asciiTheme="majorHAnsi" w:hAnsiTheme="majorHAnsi" w:cstheme="majorHAnsi"/>
          <w:bCs/>
          <w:i/>
          <w:iCs/>
          <w:szCs w:val="28"/>
          <w:shd w:val="clear" w:color="auto" w:fill="FFFFFF"/>
          <w:lang w:val="vi-VN"/>
        </w:rPr>
        <w:t xml:space="preserve">“Căn cứ điều kiện kinh tế - xã hội và nhu cầu TGPL tại địa phương” </w:t>
      </w:r>
      <w:r>
        <w:rPr>
          <w:rFonts w:asciiTheme="majorHAnsi" w:hAnsiTheme="majorHAnsi" w:cstheme="majorHAnsi"/>
          <w:bCs/>
          <w:szCs w:val="28"/>
          <w:shd w:val="clear" w:color="auto" w:fill="FFFFFF"/>
          <w:lang w:val="vi-VN"/>
        </w:rPr>
        <w:t xml:space="preserve">Chủ tịch </w:t>
      </w:r>
      <w:r>
        <w:rPr>
          <w:rFonts w:asciiTheme="majorHAnsi" w:hAnsiTheme="majorHAnsi" w:cstheme="majorHAnsi"/>
          <w:bCs/>
          <w:szCs w:val="28"/>
          <w:shd w:val="clear" w:color="auto" w:fill="FFFFFF"/>
          <w:lang w:val="en-US"/>
        </w:rPr>
        <w:t>UBND</w:t>
      </w:r>
      <w:r>
        <w:rPr>
          <w:rFonts w:asciiTheme="majorHAnsi" w:hAnsiTheme="majorHAnsi" w:cstheme="majorHAnsi"/>
          <w:bCs/>
          <w:szCs w:val="28"/>
          <w:shd w:val="clear" w:color="auto" w:fill="FFFFFF"/>
          <w:lang w:val="vi-VN"/>
        </w:rPr>
        <w:t xml:space="preserve"> cấp tỉnh quyết định thành lập Chi nhánh, nhằm trao quyền mạnh mẽ hơn cho địa phương chủ động quyết định thành lập Chi nhánh, thực hiện triệt để nguyên tắc "địa phương quyết, địa phương làm, địa phương chịu trách nhiệm". Sự điều chỉnh này đã tạo điều kiện để Chi nhánh - “cánh tay nối dài” của Trung tâm, được bố trí linh hoạt hơn theo đặc thù từng địa bàn, qua đó bảo đảm người dân, đặc biệt là người thuộc diện được TGPL được tiếp cận dịch vụ TGPL thuận lợi, kịp thời, liên tục, không bị gián đoạn trong bối cảnh nhiều địa phương có phạm vi quản lý rộng, điều kiện địa lý, giao thông đi lại khác nhau, quy mô dân số lớn và cơ cấu dân cư đa dạng.</w:t>
      </w:r>
      <w:r>
        <w:rPr>
          <w:rFonts w:asciiTheme="majorHAnsi" w:hAnsiTheme="majorHAnsi" w:cstheme="majorHAnsi"/>
          <w:szCs w:val="28"/>
          <w:lang w:val="vi-VN"/>
        </w:rPr>
        <w:t xml:space="preserve"> </w:t>
      </w:r>
    </w:p>
    <w:p>
      <w:pPr>
        <w:spacing w:before="120" w:after="120" w:line="240" w:lineRule="auto"/>
        <w:ind w:firstLine="720"/>
        <w:jc w:val="both"/>
        <w:rPr>
          <w:rFonts w:asciiTheme="majorHAnsi" w:hAnsiTheme="majorHAnsi" w:cstheme="majorHAnsi"/>
          <w:b/>
          <w:szCs w:val="28"/>
          <w:shd w:val="clear" w:color="auto" w:fill="FFFFFF"/>
          <w:lang w:val="vi-VN"/>
        </w:rPr>
      </w:pPr>
      <w:r>
        <w:rPr>
          <w:rFonts w:asciiTheme="majorHAnsi" w:hAnsiTheme="majorHAnsi" w:cstheme="majorHAnsi"/>
          <w:b/>
          <w:szCs w:val="28"/>
          <w:shd w:val="clear" w:color="auto" w:fill="FFFFFF"/>
          <w:lang w:val="vi-VN"/>
        </w:rPr>
        <w:t>4. Hoàn thiện tiêu chuẩn và cơ chế bổ nhiệm, miễn nhiệm trợ giúp viên pháp lý</w:t>
      </w:r>
    </w:p>
    <w:p>
      <w:pPr>
        <w:spacing w:before="120" w:after="120" w:line="240" w:lineRule="auto"/>
        <w:ind w:firstLine="720"/>
        <w:jc w:val="both"/>
        <w:rPr>
          <w:rFonts w:asciiTheme="majorHAnsi" w:hAnsiTheme="majorHAnsi" w:cstheme="majorHAnsi"/>
          <w:i/>
          <w:iCs/>
          <w:szCs w:val="28"/>
          <w:lang w:val="vi-VN"/>
        </w:rPr>
      </w:pPr>
      <w:r>
        <w:rPr>
          <w:rFonts w:asciiTheme="majorHAnsi" w:hAnsiTheme="majorHAnsi" w:cstheme="majorHAnsi"/>
          <w:bCs/>
          <w:szCs w:val="28"/>
          <w:shd w:val="clear" w:color="auto" w:fill="FFFFFF"/>
          <w:lang w:val="vi-VN"/>
        </w:rPr>
        <w:t>Một trong những nội dung được sửa đổi, bổ sung quan trọng của Luật là hoàn thiện quy định về bổ nhiệm, cấp thẻ trợ giúp viên pháp lý và miễn nhiệm, thu hồi thẻ trợ giúp viên pháp lý theo hướng chặt chẽ, minh bạch và phù hợp với yêu cầu thực tiễn.</w:t>
      </w:r>
    </w:p>
    <w:p>
      <w:pPr>
        <w:spacing w:before="120" w:after="120" w:line="240" w:lineRule="auto"/>
        <w:ind w:firstLine="720"/>
        <w:jc w:val="both"/>
        <w:rPr>
          <w:rFonts w:asciiTheme="majorHAnsi" w:hAnsiTheme="majorHAnsi" w:cstheme="majorHAnsi"/>
          <w:bCs/>
          <w:szCs w:val="28"/>
          <w:shd w:val="clear" w:color="auto" w:fill="FFFFFF"/>
          <w:lang w:val="vi-VN"/>
        </w:rPr>
      </w:pPr>
      <w:r>
        <w:rPr>
          <w:rFonts w:asciiTheme="majorHAnsi" w:hAnsiTheme="majorHAnsi" w:cstheme="majorHAnsi"/>
          <w:bCs/>
          <w:szCs w:val="28"/>
          <w:shd w:val="clear" w:color="auto" w:fill="FFFFFF"/>
          <w:lang w:val="vi-VN"/>
        </w:rPr>
        <w:t xml:space="preserve">Để phát huy nguồn nhân lực đã có kinh nghiệm thực hiện TGPL, Luật quy định một trong những tiêu chuẩn trợ giúp viên pháp lý là </w:t>
      </w:r>
      <w:r>
        <w:rPr>
          <w:rFonts w:asciiTheme="majorHAnsi" w:hAnsiTheme="majorHAnsi" w:cstheme="majorHAnsi"/>
          <w:bCs/>
          <w:i/>
          <w:iCs/>
          <w:szCs w:val="28"/>
          <w:shd w:val="clear" w:color="auto" w:fill="FFFFFF"/>
          <w:lang w:val="vi-VN"/>
        </w:rPr>
        <w:t>“Đã qua thời gian tập sự hành nghề luật sư hoặc tập sự TGPL, trừ trường hợp đã từng là trợ giúp viên pháp lý”</w:t>
      </w:r>
      <w:r>
        <w:rPr>
          <w:rFonts w:asciiTheme="majorHAnsi" w:hAnsiTheme="majorHAnsi" w:cstheme="majorHAnsi"/>
          <w:bCs/>
          <w:szCs w:val="28"/>
          <w:shd w:val="clear" w:color="auto" w:fill="FFFFFF"/>
          <w:lang w:val="vi-VN"/>
        </w:rPr>
        <w:t xml:space="preserve">. Đây là sự điều chỉnh hợp lý, bảo đảm phù hợp với thực tiễn đội ngũ trợ </w:t>
      </w:r>
      <w:r>
        <w:rPr>
          <w:rFonts w:asciiTheme="majorHAnsi" w:hAnsiTheme="majorHAnsi" w:cstheme="majorHAnsi"/>
          <w:bCs/>
          <w:szCs w:val="28"/>
          <w:shd w:val="clear" w:color="auto" w:fill="FFFFFF"/>
          <w:lang w:val="vi-VN"/>
        </w:rPr>
        <w:lastRenderedPageBreak/>
        <w:t xml:space="preserve">giúp viên pháp lý trong thời gian qua. Theo quy định của Luật </w:t>
      </w:r>
      <w:r>
        <w:rPr>
          <w:rFonts w:asciiTheme="majorHAnsi" w:hAnsiTheme="majorHAnsi" w:cstheme="majorHAnsi"/>
          <w:szCs w:val="28"/>
        </w:rPr>
        <w:t>số 11/2017/QH14</w:t>
      </w:r>
      <w:r>
        <w:rPr>
          <w:rFonts w:asciiTheme="majorHAnsi" w:hAnsiTheme="majorHAnsi" w:cstheme="majorHAnsi"/>
          <w:bCs/>
          <w:szCs w:val="28"/>
          <w:shd w:val="clear" w:color="auto" w:fill="FFFFFF"/>
          <w:lang w:val="vi-VN"/>
        </w:rPr>
        <w:t xml:space="preserve">, mọi trường hợp khi được xem xét bổ nhiệm đều phải đáp ứng điều kiện về tập sự, kể cả những người đã từng là trợ giúp viên pháp lý nhưng vì lý do công tác đã chuyển sang vị trí khác, sau đó quay trở lại làm TGPL. Như vậy, những người đã từng là trợ giúp viên pháp lý có kinh nghiệm thực tiễn nghề nghiệp, đã trực tiếp thực hiện vụ việc TGPL phải tập sự, “làm quen với TGPL” là không cần thiết, gây lãng phí thời gian và nguồn lực. </w:t>
      </w:r>
    </w:p>
    <w:p>
      <w:pPr>
        <w:spacing w:before="120" w:after="120" w:line="240" w:lineRule="auto"/>
        <w:ind w:firstLine="720"/>
        <w:jc w:val="both"/>
        <w:rPr>
          <w:rFonts w:asciiTheme="majorHAnsi" w:hAnsiTheme="majorHAnsi" w:cstheme="majorHAnsi"/>
          <w:bCs/>
          <w:szCs w:val="28"/>
          <w:shd w:val="clear" w:color="auto" w:fill="FFFFFF"/>
          <w:lang w:val="vi-VN"/>
        </w:rPr>
      </w:pPr>
      <w:r>
        <w:rPr>
          <w:rFonts w:asciiTheme="majorHAnsi" w:hAnsiTheme="majorHAnsi" w:cstheme="majorHAnsi"/>
          <w:bCs/>
          <w:szCs w:val="28"/>
          <w:shd w:val="clear" w:color="auto" w:fill="FFFFFF"/>
          <w:lang w:val="vi-VN"/>
        </w:rPr>
        <w:t>Luật đã bổ sung, cụ thể hóa các trường hợp không được bổ nhiệm trợ giúp viên pháp lý theo hướng rõ ràng hơn. Cụ thể, để được bổ nhiệm trợ giúp viên pháp lý thì bên cạnh việc đáp ứng các tiêu chuẩn trợ giúp viên pháp lý (quy định tại Điều 19) thì không được thuộc một trong các trường hợp sau:</w:t>
      </w:r>
    </w:p>
    <w:p>
      <w:pPr>
        <w:spacing w:before="120" w:after="120" w:line="240" w:lineRule="auto"/>
        <w:ind w:firstLine="720"/>
        <w:jc w:val="both"/>
        <w:rPr>
          <w:rFonts w:asciiTheme="majorHAnsi" w:hAnsiTheme="majorHAnsi" w:cstheme="majorHAnsi"/>
          <w:bCs/>
          <w:szCs w:val="28"/>
          <w:shd w:val="clear" w:color="auto" w:fill="FFFFFF"/>
          <w:lang w:val="vi-VN"/>
        </w:rPr>
      </w:pPr>
      <w:r>
        <w:rPr>
          <w:rFonts w:asciiTheme="majorHAnsi" w:hAnsiTheme="majorHAnsi" w:cstheme="majorHAnsi"/>
          <w:bCs/>
          <w:szCs w:val="28"/>
          <w:shd w:val="clear" w:color="auto" w:fill="FFFFFF"/>
          <w:lang w:val="vi-VN"/>
        </w:rPr>
        <w:t>- Đang trong thời hạn bị xử lý kỷ luật; đang bị áp dụng biện pháp xử lý hành chính đưa vào cơ sở cai nghiện bắt buộc, cơ sở giáo dục bắt buộc;</w:t>
      </w:r>
    </w:p>
    <w:p>
      <w:pPr>
        <w:spacing w:before="120" w:after="120" w:line="240" w:lineRule="auto"/>
        <w:ind w:firstLine="720"/>
        <w:jc w:val="both"/>
        <w:rPr>
          <w:rFonts w:asciiTheme="majorHAnsi" w:hAnsiTheme="majorHAnsi" w:cstheme="majorHAnsi"/>
          <w:bCs/>
          <w:szCs w:val="28"/>
          <w:shd w:val="clear" w:color="auto" w:fill="FFFFFF"/>
          <w:lang w:val="vi-VN"/>
        </w:rPr>
      </w:pPr>
      <w:r>
        <w:rPr>
          <w:rFonts w:asciiTheme="majorHAnsi" w:hAnsiTheme="majorHAnsi" w:cstheme="majorHAnsi"/>
          <w:bCs/>
          <w:szCs w:val="28"/>
          <w:shd w:val="clear" w:color="auto" w:fill="FFFFFF"/>
          <w:lang w:val="vi-VN"/>
        </w:rPr>
        <w:t xml:space="preserve">- Đang bị truy cứu trách nhiệm hình sự; đã bị kết án về tội phạm nghiêm trọng do cố ý, tội phạm rất nghiêm trọng do cố ý, tội phạm đặc biệt nghiêm trọng do cố ý; đã bị kết án mà chưa được xóa án tích về tội phạm rất nghiêm trọng do </w:t>
      </w:r>
      <w:r>
        <w:rPr>
          <w:rFonts w:asciiTheme="majorHAnsi" w:hAnsiTheme="majorHAnsi" w:cstheme="majorHAnsi"/>
          <w:bCs/>
          <w:spacing w:val="-6"/>
          <w:szCs w:val="28"/>
          <w:shd w:val="clear" w:color="auto" w:fill="FFFFFF"/>
          <w:lang w:val="vi-VN"/>
        </w:rPr>
        <w:t>vô ý, tội phạm đặc biệt nghiêm trọng do vô ý hoặc tội phạm ít nghiêm trọng do cố ý.</w:t>
      </w:r>
    </w:p>
    <w:p>
      <w:pPr>
        <w:spacing w:before="120" w:after="120" w:line="240" w:lineRule="auto"/>
        <w:ind w:firstLine="720"/>
        <w:jc w:val="both"/>
        <w:rPr>
          <w:rFonts w:asciiTheme="majorHAnsi" w:hAnsiTheme="majorHAnsi" w:cstheme="majorHAnsi"/>
          <w:bCs/>
          <w:szCs w:val="28"/>
          <w:shd w:val="clear" w:color="auto" w:fill="FFFFFF"/>
          <w:lang w:val="vi-VN"/>
        </w:rPr>
      </w:pPr>
      <w:r>
        <w:rPr>
          <w:rFonts w:asciiTheme="majorHAnsi" w:hAnsiTheme="majorHAnsi" w:cstheme="majorHAnsi"/>
          <w:bCs/>
          <w:szCs w:val="28"/>
          <w:shd w:val="clear" w:color="auto" w:fill="FFFFFF"/>
          <w:lang w:val="vi-VN"/>
        </w:rPr>
        <w:t xml:space="preserve"> Quy định này nhằm nâng cao tiêu chuẩn đầu vào, bảo đảm đội ngũ trợ giúp viên pháp lý có phẩm chất đạo đức, uy tín đáp ứng yêu cầu ngày càng cao của hoạt động TGPL, nhất là trong hoạt động TGPL tham gia tố tụng.</w:t>
      </w:r>
    </w:p>
    <w:p>
      <w:pPr>
        <w:spacing w:before="120" w:after="120" w:line="240" w:lineRule="auto"/>
        <w:ind w:firstLine="720"/>
        <w:jc w:val="both"/>
        <w:rPr>
          <w:rFonts w:asciiTheme="majorHAnsi" w:hAnsiTheme="majorHAnsi" w:cstheme="majorHAnsi"/>
          <w:bCs/>
          <w:szCs w:val="28"/>
          <w:shd w:val="clear" w:color="auto" w:fill="FFFFFF"/>
          <w:lang w:val="vi-VN"/>
        </w:rPr>
      </w:pPr>
      <w:r>
        <w:rPr>
          <w:rFonts w:asciiTheme="majorHAnsi" w:hAnsiTheme="majorHAnsi" w:cstheme="majorHAnsi"/>
          <w:bCs/>
          <w:szCs w:val="28"/>
          <w:shd w:val="clear" w:color="auto" w:fill="FFFFFF"/>
          <w:lang w:val="vi-VN"/>
        </w:rPr>
        <w:t xml:space="preserve">Bên cạnh đó, Luật đã bổ sung quy định về miễn nhiệm và thu hồi thẻ trợ giúp viên pháp lý theo hướng bảo đảm tính đồng bộ với điều kiện bổ nhiệm trợ giúp viên pháp lý. Theo đó, Luật bổ sung một số trường hợp cụ thể là căn cứ miễn nhiệm và thu hồi thẻ, như: </w:t>
      </w:r>
      <w:r>
        <w:rPr>
          <w:rFonts w:asciiTheme="majorHAnsi" w:hAnsiTheme="majorHAnsi" w:cstheme="majorHAnsi"/>
          <w:bCs/>
          <w:i/>
          <w:iCs/>
          <w:szCs w:val="28"/>
          <w:shd w:val="clear" w:color="auto" w:fill="FFFFFF"/>
          <w:lang w:val="vi-VN"/>
        </w:rPr>
        <w:t>“bị kết án mà bản án đã có hiệu lực pháp luật”;</w:t>
      </w:r>
      <w:r>
        <w:rPr>
          <w:rFonts w:asciiTheme="majorHAnsi" w:hAnsiTheme="majorHAnsi" w:cstheme="majorHAnsi"/>
          <w:bCs/>
          <w:szCs w:val="28"/>
          <w:shd w:val="clear" w:color="auto" w:fill="FFFFFF"/>
          <w:lang w:val="vi-VN"/>
        </w:rPr>
        <w:t xml:space="preserve"> hoặc </w:t>
      </w:r>
      <w:r>
        <w:rPr>
          <w:rFonts w:asciiTheme="majorHAnsi" w:hAnsiTheme="majorHAnsi" w:cstheme="majorHAnsi"/>
          <w:bCs/>
          <w:i/>
          <w:iCs/>
          <w:szCs w:val="28"/>
          <w:shd w:val="clear" w:color="auto" w:fill="FFFFFF"/>
          <w:lang w:val="vi-VN"/>
        </w:rPr>
        <w:t>“bị áp dụng biện pháp xử lý hành chính đưa vào cơ sở cai nghiện bắt buộc hoặc cơ sở giáo dục bắt buộc”.</w:t>
      </w:r>
      <w:r>
        <w:rPr>
          <w:rFonts w:asciiTheme="majorHAnsi" w:hAnsiTheme="majorHAnsi" w:cstheme="majorHAnsi"/>
          <w:bCs/>
          <w:szCs w:val="28"/>
          <w:shd w:val="clear" w:color="auto" w:fill="FFFFFF"/>
          <w:lang w:val="vi-VN"/>
        </w:rPr>
        <w:t xml:space="preserve"> Để thời gian tới tiếp tục duy trì đội ngũ trợ giúp viên pháp lý có năng lực, bảo đảm chất lượng dịch vụ TGPL cung cấp cho người yếu thế, Luật đã siết chặt hơn khi quy định trợ giúp viên pháp lý bị miễn nhiệm và thu hồi thẻ khi không thực hiện vụ việc tham gia tố tụng </w:t>
      </w:r>
      <w:r>
        <w:rPr>
          <w:rFonts w:asciiTheme="majorHAnsi" w:hAnsiTheme="majorHAnsi" w:cstheme="majorHAnsi"/>
          <w:iCs/>
          <w:szCs w:val="28"/>
          <w:shd w:val="clear" w:color="auto" w:fill="FFFFFF"/>
          <w:lang w:val="vi-VN"/>
        </w:rPr>
        <w:t xml:space="preserve">trong 12 tháng liên tục </w:t>
      </w:r>
      <w:r>
        <w:rPr>
          <w:rFonts w:asciiTheme="majorHAnsi" w:hAnsiTheme="majorHAnsi" w:cstheme="majorHAnsi"/>
          <w:bCs/>
          <w:szCs w:val="28"/>
          <w:shd w:val="clear" w:color="auto" w:fill="FFFFFF"/>
          <w:lang w:val="vi-VN"/>
        </w:rPr>
        <w:t xml:space="preserve">(Luật </w:t>
      </w:r>
      <w:r>
        <w:rPr>
          <w:rFonts w:asciiTheme="majorHAnsi" w:hAnsiTheme="majorHAnsi" w:cstheme="majorHAnsi"/>
          <w:szCs w:val="28"/>
        </w:rPr>
        <w:t xml:space="preserve">số 11/2017/QH14 </w:t>
      </w:r>
      <w:r>
        <w:rPr>
          <w:rFonts w:asciiTheme="majorHAnsi" w:hAnsiTheme="majorHAnsi" w:cstheme="majorHAnsi"/>
          <w:bCs/>
          <w:szCs w:val="28"/>
          <w:shd w:val="clear" w:color="auto" w:fill="FFFFFF"/>
          <w:lang w:val="vi-VN"/>
        </w:rPr>
        <w:t xml:space="preserve">quy định </w:t>
      </w:r>
      <w:r>
        <w:rPr>
          <w:rFonts w:asciiTheme="majorHAnsi" w:hAnsiTheme="majorHAnsi" w:cstheme="majorHAnsi"/>
          <w:iCs/>
          <w:szCs w:val="28"/>
          <w:shd w:val="clear" w:color="auto" w:fill="FFFFFF"/>
          <w:lang w:val="vi-VN"/>
        </w:rPr>
        <w:t>trong 02 năm liên tục</w:t>
      </w:r>
      <w:r>
        <w:rPr>
          <w:rFonts w:asciiTheme="majorHAnsi" w:hAnsiTheme="majorHAnsi" w:cstheme="majorHAnsi"/>
          <w:bCs/>
          <w:szCs w:val="28"/>
          <w:shd w:val="clear" w:color="auto" w:fill="FFFFFF"/>
          <w:lang w:val="vi-VN"/>
        </w:rPr>
        <w:t xml:space="preserve">); hoặc khi bị xử lý kỷ luật bằng </w:t>
      </w:r>
      <w:r>
        <w:rPr>
          <w:rFonts w:asciiTheme="majorHAnsi" w:hAnsiTheme="majorHAnsi" w:cstheme="majorHAnsi"/>
          <w:iCs/>
          <w:szCs w:val="28"/>
          <w:shd w:val="clear" w:color="auto" w:fill="FFFFFF"/>
          <w:lang w:val="vi-VN"/>
        </w:rPr>
        <w:t>hình thức cảnh cáo trở lên</w:t>
      </w:r>
      <w:r>
        <w:rPr>
          <w:rFonts w:asciiTheme="majorHAnsi" w:hAnsiTheme="majorHAnsi" w:cstheme="majorHAnsi"/>
          <w:bCs/>
          <w:szCs w:val="28"/>
          <w:shd w:val="clear" w:color="auto" w:fill="FFFFFF"/>
          <w:lang w:val="vi-VN"/>
        </w:rPr>
        <w:t xml:space="preserve"> do thực hiện hành vi bị nghiêm cấm trong hoạt động TGPL tại khoản 1 Điều 6 Luật </w:t>
      </w:r>
      <w:r>
        <w:rPr>
          <w:rFonts w:asciiTheme="majorHAnsi" w:hAnsiTheme="majorHAnsi" w:cstheme="majorHAnsi"/>
          <w:szCs w:val="28"/>
        </w:rPr>
        <w:t xml:space="preserve">số 11/2017/QH14 </w:t>
      </w:r>
      <w:r>
        <w:rPr>
          <w:rFonts w:asciiTheme="majorHAnsi" w:hAnsiTheme="majorHAnsi" w:cstheme="majorHAnsi"/>
          <w:bCs/>
          <w:szCs w:val="28"/>
          <w:shd w:val="clear" w:color="auto" w:fill="FFFFFF"/>
          <w:lang w:val="vi-VN"/>
        </w:rPr>
        <w:t xml:space="preserve">(Luật </w:t>
      </w:r>
      <w:r>
        <w:rPr>
          <w:rFonts w:asciiTheme="majorHAnsi" w:hAnsiTheme="majorHAnsi" w:cstheme="majorHAnsi"/>
          <w:szCs w:val="28"/>
        </w:rPr>
        <w:t xml:space="preserve">số 11/2017/QH14 </w:t>
      </w:r>
      <w:r>
        <w:rPr>
          <w:rFonts w:asciiTheme="majorHAnsi" w:hAnsiTheme="majorHAnsi" w:cstheme="majorHAnsi"/>
          <w:bCs/>
          <w:szCs w:val="28"/>
          <w:shd w:val="clear" w:color="auto" w:fill="FFFFFF"/>
          <w:lang w:val="vi-VN"/>
        </w:rPr>
        <w:t xml:space="preserve">quy định bị xử lý kỷ luật bằng </w:t>
      </w:r>
      <w:r>
        <w:rPr>
          <w:rFonts w:asciiTheme="majorHAnsi" w:hAnsiTheme="majorHAnsi" w:cstheme="majorHAnsi"/>
          <w:iCs/>
          <w:szCs w:val="28"/>
          <w:shd w:val="clear" w:color="auto" w:fill="FFFFFF"/>
          <w:lang w:val="vi-VN"/>
        </w:rPr>
        <w:t>hình thức cảnh cáo từ lần thứ 02 trở lên hoặc cách chức</w:t>
      </w:r>
      <w:r>
        <w:rPr>
          <w:rFonts w:asciiTheme="majorHAnsi" w:hAnsiTheme="majorHAnsi" w:cstheme="majorHAnsi"/>
          <w:bCs/>
          <w:szCs w:val="28"/>
          <w:shd w:val="clear" w:color="auto" w:fill="FFFFFF"/>
          <w:lang w:val="vi-VN"/>
        </w:rPr>
        <w:t xml:space="preserve"> do thực hiện hành vi bị nghiêm cấm trong hoạt động TGPL) hoặc đang trong thời gian bị cấm hành nghề trợ giúp pháp lý theo quyết định của cơ quan có thẩm quyền. Những quy định này góp phần tăng cường kỷ luật, kỷ cương trong hoạt động nghề nghiệp, đồng thời bảo đảm cơ chế sàng lọc, duy trì chất lượng đội ngũ trợ giúp viên pháp lý.</w:t>
      </w:r>
    </w:p>
    <w:p>
      <w:pPr>
        <w:spacing w:before="120" w:after="120" w:line="240" w:lineRule="auto"/>
        <w:ind w:firstLine="720"/>
        <w:jc w:val="both"/>
        <w:rPr>
          <w:rFonts w:asciiTheme="majorHAnsi" w:hAnsiTheme="majorHAnsi" w:cstheme="majorHAnsi"/>
          <w:bCs/>
          <w:szCs w:val="28"/>
          <w:shd w:val="clear" w:color="auto" w:fill="FFFFFF"/>
          <w:lang w:val="vi-VN"/>
        </w:rPr>
      </w:pPr>
      <w:r>
        <w:rPr>
          <w:rFonts w:asciiTheme="majorHAnsi" w:hAnsiTheme="majorHAnsi" w:cstheme="majorHAnsi"/>
          <w:bCs/>
          <w:szCs w:val="28"/>
          <w:shd w:val="clear" w:color="auto" w:fill="FFFFFF"/>
          <w:lang w:val="vi-VN"/>
        </w:rPr>
        <w:t xml:space="preserve">Ngoài ra, Luật bổ sung quy định trợ giúp viên pháp lý đương nhiên miễn nhiệm và thẻ trợ giúp viên pháp lý đương nhiên không còn giá trị. Đối với các trường hợp như chuyển công tác khác, thôi việc, cho thôi việc hoặc nghỉ hưu thì đương nhiên miễn nhiệm và thẻ trợ giúp viên pháp lý không còn giá trị. Như vậy, </w:t>
      </w:r>
      <w:r>
        <w:rPr>
          <w:rFonts w:asciiTheme="majorHAnsi" w:hAnsiTheme="majorHAnsi" w:cstheme="majorHAnsi"/>
          <w:bCs/>
          <w:szCs w:val="28"/>
          <w:shd w:val="clear" w:color="auto" w:fill="FFFFFF"/>
          <w:lang w:val="vi-VN"/>
        </w:rPr>
        <w:lastRenderedPageBreak/>
        <w:t>các trường hợp này không phải thực hiện thủ tục xem xét, quyết định thu hồi thẻ như trước đây; nhằm giảm bớt các thủ tục không cần thiết.</w:t>
      </w:r>
    </w:p>
    <w:p>
      <w:pPr>
        <w:spacing w:before="120" w:after="120" w:line="240" w:lineRule="auto"/>
        <w:ind w:firstLine="720"/>
        <w:jc w:val="both"/>
        <w:rPr>
          <w:rFonts w:asciiTheme="majorHAnsi" w:hAnsiTheme="majorHAnsi" w:cstheme="majorHAnsi"/>
          <w:b/>
          <w:szCs w:val="28"/>
          <w:shd w:val="clear" w:color="auto" w:fill="FFFFFF"/>
          <w:lang w:val="vi-VN"/>
        </w:rPr>
      </w:pPr>
      <w:r>
        <w:rPr>
          <w:rFonts w:asciiTheme="majorHAnsi" w:hAnsiTheme="majorHAnsi" w:cstheme="majorHAnsi"/>
          <w:b/>
          <w:szCs w:val="28"/>
          <w:shd w:val="clear" w:color="auto" w:fill="FFFFFF"/>
          <w:lang w:val="vi-VN"/>
        </w:rPr>
        <w:t>5. Tiếp tục mở rộng giải pháp thu hút nguồn lực xã hội có chất lượng tham gia thực hiện TGPL</w:t>
      </w:r>
    </w:p>
    <w:p>
      <w:pPr>
        <w:spacing w:before="120" w:after="120" w:line="240" w:lineRule="auto"/>
        <w:ind w:firstLine="720"/>
        <w:jc w:val="both"/>
        <w:rPr>
          <w:rFonts w:asciiTheme="majorHAnsi" w:hAnsiTheme="majorHAnsi" w:cstheme="majorHAnsi"/>
          <w:bCs/>
          <w:i/>
          <w:iCs/>
          <w:szCs w:val="28"/>
          <w:shd w:val="clear" w:color="auto" w:fill="FFFFFF"/>
          <w:lang w:val="vi-VN"/>
        </w:rPr>
      </w:pPr>
      <w:r>
        <w:rPr>
          <w:rFonts w:asciiTheme="majorHAnsi" w:hAnsiTheme="majorHAnsi" w:cstheme="majorHAnsi"/>
          <w:bCs/>
          <w:szCs w:val="28"/>
          <w:shd w:val="clear" w:color="auto" w:fill="FFFFFF"/>
          <w:lang w:val="vi-VN"/>
        </w:rPr>
        <w:t>Một trong những điểm mới đáng chú ý của Luật là sửa đổi quy định về cộng tác viên TGPL, theo hướng vừa mở rộng nguồn lực, vừa tăng cường kiểm soát chất lượng.</w:t>
      </w:r>
    </w:p>
    <w:p>
      <w:pPr>
        <w:spacing w:before="120" w:after="120" w:line="240" w:lineRule="auto"/>
        <w:ind w:firstLine="720"/>
        <w:jc w:val="both"/>
        <w:rPr>
          <w:rFonts w:asciiTheme="majorHAnsi" w:hAnsiTheme="majorHAnsi" w:cstheme="majorHAnsi"/>
          <w:bCs/>
          <w:szCs w:val="28"/>
          <w:shd w:val="clear" w:color="auto" w:fill="FFFFFF"/>
          <w:lang w:val="vi-VN"/>
        </w:rPr>
      </w:pPr>
      <w:r>
        <w:rPr>
          <w:rFonts w:asciiTheme="majorHAnsi" w:hAnsiTheme="majorHAnsi" w:cstheme="majorHAnsi"/>
          <w:bCs/>
          <w:szCs w:val="28"/>
          <w:shd w:val="clear" w:color="auto" w:fill="FFFFFF"/>
          <w:lang w:val="vi-VN"/>
        </w:rPr>
        <w:t xml:space="preserve">Trước hết, Luật đã mở rộng theo hướng không giới hạn địa bàn người đủ điều kiện có thể đăng ký làm cộng tác viên TGPL (Luật </w:t>
      </w:r>
      <w:r>
        <w:rPr>
          <w:rFonts w:asciiTheme="majorHAnsi" w:hAnsiTheme="majorHAnsi" w:cstheme="majorHAnsi"/>
          <w:szCs w:val="28"/>
        </w:rPr>
        <w:t xml:space="preserve">số 11/2017/QH14 </w:t>
      </w:r>
      <w:r>
        <w:rPr>
          <w:rFonts w:asciiTheme="majorHAnsi" w:hAnsiTheme="majorHAnsi" w:cstheme="majorHAnsi"/>
          <w:bCs/>
          <w:szCs w:val="28"/>
          <w:shd w:val="clear" w:color="auto" w:fill="FFFFFF"/>
          <w:lang w:val="vi-VN"/>
        </w:rPr>
        <w:t xml:space="preserve">quy định cộng tác viên TGPL chỉ có ở vùng có điều kiện kinh tế - xã hội đặc biệt khó khăn). Cách tiếp cận mới này không chỉ giúp tăng tính linh hoạt trong tổ chức thực hiện mà còn tạo điều kiện để người dân ở nhiều khu vực khác nhau được tiếp cận dịch vụ TGPL thuận lợi hơn. </w:t>
      </w:r>
    </w:p>
    <w:p>
      <w:pPr>
        <w:spacing w:before="120" w:after="120" w:line="240" w:lineRule="auto"/>
        <w:ind w:firstLine="720"/>
        <w:jc w:val="both"/>
        <w:rPr>
          <w:rFonts w:asciiTheme="majorHAnsi" w:hAnsiTheme="majorHAnsi" w:cstheme="majorHAnsi"/>
          <w:bCs/>
          <w:szCs w:val="28"/>
          <w:shd w:val="clear" w:color="auto" w:fill="FFFFFF"/>
          <w:lang w:val="vi-VN"/>
        </w:rPr>
      </w:pPr>
      <w:r>
        <w:rPr>
          <w:rFonts w:asciiTheme="majorHAnsi" w:hAnsiTheme="majorHAnsi" w:cstheme="majorHAnsi"/>
          <w:bCs/>
          <w:szCs w:val="28"/>
          <w:shd w:val="clear" w:color="auto" w:fill="FFFFFF"/>
          <w:lang w:val="vi-VN"/>
        </w:rPr>
        <w:t>Đồng thời, Luật cũng hướng tới việc tận dụng hiệu quả nguồn nhân lực có kinh nghiệm trong lĩnh vực pháp luật trong xã hội. Bên cạnh các chức danh người đã nghỉ hưu như trợ giúp viên pháp lý, Thẩm phán, Thẩm tra viên, Kiểm sát viên…, Luật đã mở rộng đáng kể các nhóm đối tượng có thể trở thành cộng tác viên TGPL, bao gồm cả những người đã từng là cộng tác viên TGPL; người đã nghỉ hưu là người giữ hạng, ngạch chuyên viên chính và tương đương trở lên làm công tác pháp luật, người giữ hạng, ngạch chuyên viên và tương đương làm công tác pháp luật từ 05 năm trở lên tại cơ quan của Đảng Cộng sản Việt Nam, Nhà nước, Mặt trận Tổ quốc Việt Nam và các tổ chức thành viên của Mặt trận.</w:t>
      </w:r>
      <w:r>
        <w:rPr>
          <w:rFonts w:asciiTheme="majorHAnsi" w:hAnsiTheme="majorHAnsi" w:cstheme="majorHAnsi"/>
          <w:i/>
          <w:iCs/>
          <w:szCs w:val="28"/>
          <w:lang w:val="vi-VN"/>
        </w:rPr>
        <w:t xml:space="preserve"> </w:t>
      </w:r>
      <w:r>
        <w:rPr>
          <w:rFonts w:asciiTheme="majorHAnsi" w:hAnsiTheme="majorHAnsi" w:cstheme="majorHAnsi"/>
          <w:bCs/>
          <w:szCs w:val="28"/>
          <w:shd w:val="clear" w:color="auto" w:fill="FFFFFF"/>
          <w:lang w:val="vi-VN"/>
        </w:rPr>
        <w:t>Bổ sung quy định viên chức giữ hạng III và tương đương làm công tác pháp luật từ 05 năm trở lên hoặc viên chức giữ hạng I, hạng II và tương đương làm công tác pháp luật cũng được trở thành cộng tác viên TGPL khi được sự đồng ý bằng văn bản của cơ quan nơi làm việc.</w:t>
      </w:r>
    </w:p>
    <w:p>
      <w:pPr>
        <w:spacing w:before="120" w:after="120" w:line="240" w:lineRule="auto"/>
        <w:ind w:firstLine="720"/>
        <w:jc w:val="both"/>
        <w:rPr>
          <w:rFonts w:asciiTheme="majorHAnsi" w:hAnsiTheme="majorHAnsi" w:cstheme="majorHAnsi"/>
          <w:bCs/>
          <w:szCs w:val="28"/>
          <w:shd w:val="clear" w:color="auto" w:fill="FFFFFF"/>
          <w:lang w:val="vi-VN"/>
        </w:rPr>
      </w:pPr>
      <w:r>
        <w:rPr>
          <w:rFonts w:asciiTheme="majorHAnsi" w:hAnsiTheme="majorHAnsi" w:cstheme="majorHAnsi"/>
          <w:bCs/>
          <w:szCs w:val="28"/>
          <w:shd w:val="clear" w:color="auto" w:fill="FFFFFF"/>
          <w:lang w:val="vi-VN"/>
        </w:rPr>
        <w:t>Có thể thấy rằng, quy định mới đã tạo cơ chế mở rộng nhưng có chọn lọc, vừa huy động được nguồn nhân lực pháp lý có chất lượng trong xã hội, vừa bảo đảm yêu cầu về tiêu chuẩn, điều kiện đối với cộng tác viên TGPL. Điều này không chỉ góp phần mở rộng mạng lưới cung cấp dịch vụ TGPL trên phạm vi rộng hơn mà còn nâng cao chất lượng, hiệu quả, đáp ứng tốt hơn nhu cầu ngày càng đa dạng của người dân trong thực tiễn.</w:t>
      </w:r>
    </w:p>
    <w:p>
      <w:pPr>
        <w:spacing w:before="120" w:after="120" w:line="240" w:lineRule="auto"/>
        <w:ind w:firstLine="720"/>
        <w:jc w:val="both"/>
        <w:rPr>
          <w:rFonts w:asciiTheme="majorHAnsi" w:hAnsiTheme="majorHAnsi" w:cstheme="majorHAnsi"/>
          <w:bCs/>
          <w:szCs w:val="28"/>
          <w:shd w:val="clear" w:color="auto" w:fill="FFFFFF"/>
          <w:lang w:val="vi-VN"/>
        </w:rPr>
      </w:pPr>
      <w:r>
        <w:rPr>
          <w:rFonts w:asciiTheme="majorHAnsi" w:hAnsiTheme="majorHAnsi" w:cstheme="majorHAnsi"/>
          <w:bCs/>
          <w:szCs w:val="28"/>
          <w:shd w:val="clear" w:color="auto" w:fill="FFFFFF"/>
          <w:lang w:val="vi-VN"/>
        </w:rPr>
        <w:t>Ngoài ra, Luật đã mở rộng hình thức thực hiện TGPL đối với cộng tác viên TGPL khi quy định chủ thể này, bên cạnh trợ giúp viên pháp lý và luật sư, được thực hiện vụ việc TGPL đại diện ngoài tố tụng. Việc cho phép cộng tác viên TGPL thực hiện vụ việc đại diện ngoài tố tụng góp phần nâng cao khả năng tiếp cận dịch vụ TGPL của người dân trong các quan hệ pháp luật dân sự, hành chính trước cơ quan nhà nước có thẩm quyền, qua đó bảo đảm quyền, lợi ích hợp pháp của người được TGPL ngay từ giai đoạn sớm, hạn chế phát sinh tranh chấp phải đưa ra giải quyết tại cơ quan tố tụng.</w:t>
      </w:r>
    </w:p>
    <w:p>
      <w:pPr>
        <w:spacing w:before="120" w:after="120" w:line="240" w:lineRule="auto"/>
        <w:ind w:firstLine="720"/>
        <w:jc w:val="both"/>
        <w:rPr>
          <w:rFonts w:asciiTheme="majorHAnsi" w:hAnsiTheme="majorHAnsi" w:cstheme="majorHAnsi"/>
          <w:b/>
          <w:szCs w:val="28"/>
          <w:shd w:val="clear" w:color="auto" w:fill="FFFFFF"/>
          <w:lang w:val="vi-VN"/>
        </w:rPr>
      </w:pPr>
      <w:r>
        <w:rPr>
          <w:rFonts w:asciiTheme="majorHAnsi" w:hAnsiTheme="majorHAnsi" w:cstheme="majorHAnsi"/>
          <w:b/>
          <w:szCs w:val="28"/>
          <w:shd w:val="clear" w:color="auto" w:fill="FFFFFF"/>
          <w:lang w:val="vi-VN"/>
        </w:rPr>
        <w:t>6. Hoàn thiện cơ chế cấp thẻ, thu hồi thẻ cộng tác viên TGPL</w:t>
      </w:r>
    </w:p>
    <w:p>
      <w:pPr>
        <w:spacing w:before="120" w:after="120" w:line="240" w:lineRule="auto"/>
        <w:ind w:firstLine="720"/>
        <w:jc w:val="both"/>
        <w:rPr>
          <w:rFonts w:asciiTheme="majorHAnsi" w:hAnsiTheme="majorHAnsi" w:cstheme="majorHAnsi"/>
          <w:bCs/>
          <w:szCs w:val="28"/>
          <w:shd w:val="clear" w:color="auto" w:fill="FFFFFF"/>
          <w:lang w:val="vi-VN"/>
        </w:rPr>
      </w:pPr>
      <w:r>
        <w:rPr>
          <w:rFonts w:asciiTheme="majorHAnsi" w:hAnsiTheme="majorHAnsi" w:cstheme="majorHAnsi"/>
          <w:bCs/>
          <w:szCs w:val="28"/>
          <w:shd w:val="clear" w:color="auto" w:fill="FFFFFF"/>
          <w:lang w:val="vi-VN"/>
        </w:rPr>
        <w:lastRenderedPageBreak/>
        <w:t>Luật đã có bước hoàn thiện quan trọng trong cơ chế quản lý đội ngũ cộng tác viên TGPL, đặc biệt là quy định về cấp và thu hồi thẻ cộng tác viên TGPL theo hướng đồng bộ, chặt chẽ, minh bạch và chuyên nghiệp hơn. Luật đã bổ sung các trường hợp không được cấp thẻ cộng tác viên TGPL. Cụ thể, để được cấp thẻ cộng tác viên TGPL, bên cạnh việc đáp ứng tiêu chuẩn luật định (quy định tại khoản 1 Điều 24) thì không được thuộc một trong các trường hợp sau:</w:t>
      </w:r>
    </w:p>
    <w:p>
      <w:pPr>
        <w:spacing w:before="120" w:after="120" w:line="240" w:lineRule="auto"/>
        <w:ind w:firstLine="720"/>
        <w:jc w:val="both"/>
        <w:rPr>
          <w:rFonts w:asciiTheme="majorHAnsi" w:hAnsiTheme="majorHAnsi" w:cstheme="majorHAnsi"/>
          <w:bCs/>
          <w:szCs w:val="28"/>
          <w:shd w:val="clear" w:color="auto" w:fill="FFFFFF"/>
          <w:lang w:val="vi-VN"/>
        </w:rPr>
      </w:pPr>
      <w:r>
        <w:rPr>
          <w:rFonts w:asciiTheme="majorHAnsi" w:hAnsiTheme="majorHAnsi" w:cstheme="majorHAnsi"/>
          <w:bCs/>
          <w:szCs w:val="28"/>
          <w:shd w:val="clear" w:color="auto" w:fill="FFFFFF"/>
          <w:lang w:val="vi-VN"/>
        </w:rPr>
        <w:t xml:space="preserve">- Đang bị truy cứu trách nhiệm hình sự; đã bị kết án về tội phạm nghiêm trọng do cố ý, tội phạm rất nghiêm trọng do cố ý, tội phạm đặc biệt nghiêm trọng do cố ý; đã bị kết án mà chưa được xóa án tích về tội phạm rất nghiêm trọng do </w:t>
      </w:r>
      <w:r>
        <w:rPr>
          <w:rFonts w:asciiTheme="majorHAnsi" w:hAnsiTheme="majorHAnsi" w:cstheme="majorHAnsi"/>
          <w:bCs/>
          <w:spacing w:val="-6"/>
          <w:szCs w:val="28"/>
          <w:shd w:val="clear" w:color="auto" w:fill="FFFFFF"/>
          <w:lang w:val="vi-VN"/>
        </w:rPr>
        <w:t>vô ý, tội phạm đặc biệt nghiêm trọng do vô ý hoặc tội phạm ít nghiêm trọng do cố ý;</w:t>
      </w:r>
    </w:p>
    <w:p>
      <w:pPr>
        <w:spacing w:before="120" w:after="120" w:line="240" w:lineRule="auto"/>
        <w:ind w:firstLine="720"/>
        <w:jc w:val="both"/>
        <w:rPr>
          <w:rFonts w:asciiTheme="majorHAnsi" w:hAnsiTheme="majorHAnsi" w:cstheme="majorHAnsi"/>
          <w:bCs/>
          <w:szCs w:val="28"/>
          <w:shd w:val="clear" w:color="auto" w:fill="FFFFFF"/>
          <w:lang w:val="vi-VN"/>
        </w:rPr>
      </w:pPr>
      <w:r>
        <w:rPr>
          <w:rFonts w:asciiTheme="majorHAnsi" w:hAnsiTheme="majorHAnsi" w:cstheme="majorHAnsi"/>
          <w:bCs/>
          <w:szCs w:val="28"/>
          <w:shd w:val="clear" w:color="auto" w:fill="FFFFFF"/>
          <w:lang w:val="vi-VN"/>
        </w:rPr>
        <w:t>- Đang bị áp dụng biện pháp xử lý hành chính đưa vào cơ sở cai nghiện bắt buộc, cơ sở giáo dục bắt buộc; viên chức đang trong thời hạn bị xử lý kỷ luật.</w:t>
      </w:r>
    </w:p>
    <w:p>
      <w:pPr>
        <w:spacing w:before="120" w:after="120" w:line="240" w:lineRule="auto"/>
        <w:ind w:firstLine="720"/>
        <w:jc w:val="both"/>
        <w:rPr>
          <w:rFonts w:asciiTheme="majorHAnsi" w:hAnsiTheme="majorHAnsi" w:cstheme="majorHAnsi"/>
          <w:bCs/>
          <w:szCs w:val="28"/>
          <w:shd w:val="clear" w:color="auto" w:fill="FFFFFF"/>
          <w:lang w:val="vi-VN"/>
        </w:rPr>
      </w:pPr>
      <w:r>
        <w:rPr>
          <w:rFonts w:asciiTheme="majorHAnsi" w:hAnsiTheme="majorHAnsi" w:cstheme="majorHAnsi"/>
          <w:bCs/>
          <w:szCs w:val="28"/>
          <w:shd w:val="clear" w:color="auto" w:fill="FFFFFF"/>
          <w:lang w:val="vi-VN"/>
        </w:rPr>
        <w:t xml:space="preserve">Luật quy định các trường hợp thu hồi thẻ cộng tác viên TGPL đầy đủ, rõ ràng  hơn, tương đồng với điều kiện được cấp thẻ và mang tính “sàng lọc thường xuyên”. Theo đó, cộng tác viên TGPL sẽ bị thu hồi thẻ không chỉ khi người đó không còn đáp ứng tiêu chuẩn, điều kiện, mà còn trong các trường hợp phát sinh trong quá trình hoạt động. Cụ thể: Thu hồi thẻ trong các trường hợp cộng tác viên </w:t>
      </w:r>
      <w:r>
        <w:rPr>
          <w:rFonts w:asciiTheme="majorHAnsi" w:hAnsiTheme="majorHAnsi" w:cstheme="majorHAnsi"/>
          <w:i/>
          <w:iCs/>
          <w:szCs w:val="28"/>
          <w:shd w:val="clear" w:color="auto" w:fill="FFFFFF"/>
          <w:lang w:val="vi-VN"/>
        </w:rPr>
        <w:t xml:space="preserve">không tham gia thực hiện vụ việc TGPL </w:t>
      </w:r>
      <w:r>
        <w:rPr>
          <w:rFonts w:asciiTheme="majorHAnsi" w:hAnsiTheme="majorHAnsi" w:cstheme="majorHAnsi"/>
          <w:bCs/>
          <w:szCs w:val="28"/>
          <w:shd w:val="clear" w:color="auto" w:fill="FFFFFF"/>
          <w:lang w:val="vi-VN"/>
        </w:rPr>
        <w:t xml:space="preserve">trong thời gian 02 năm liên tục (lưu ý, Nghị định số 144/2017/NĐ-CP của Chính phủ quy định thu hồi thẻ đối với trường hợp </w:t>
      </w:r>
      <w:r>
        <w:rPr>
          <w:rFonts w:asciiTheme="majorHAnsi" w:hAnsiTheme="majorHAnsi" w:cstheme="majorHAnsi"/>
          <w:i/>
          <w:iCs/>
          <w:szCs w:val="28"/>
          <w:shd w:val="clear" w:color="auto" w:fill="FFFFFF"/>
          <w:lang w:val="vi-VN"/>
        </w:rPr>
        <w:t>không thực hiện TGPL</w:t>
      </w:r>
      <w:r>
        <w:rPr>
          <w:rFonts w:asciiTheme="majorHAnsi" w:hAnsiTheme="majorHAnsi" w:cstheme="majorHAnsi"/>
          <w:b/>
          <w:i/>
          <w:iCs/>
          <w:szCs w:val="28"/>
          <w:shd w:val="clear" w:color="auto" w:fill="FFFFFF"/>
          <w:lang w:val="vi-VN"/>
        </w:rPr>
        <w:t xml:space="preserve"> </w:t>
      </w:r>
      <w:r>
        <w:rPr>
          <w:rFonts w:asciiTheme="majorHAnsi" w:hAnsiTheme="majorHAnsi" w:cstheme="majorHAnsi"/>
          <w:bCs/>
          <w:szCs w:val="28"/>
          <w:shd w:val="clear" w:color="auto" w:fill="FFFFFF"/>
          <w:lang w:val="vi-VN"/>
        </w:rPr>
        <w:t>trong thời gian 02 năm liên tục); vi phạm quy định về các hành vi bị nghiêm cấm trong hoạt động TGPL hoặc đã bị xử phạt vi phạm hành chính trong lĩnh vực TGPL nhưng chưa đến mức bị thu hồi thẻ cộng tác viên TGPL mà tiếp tục có hành vi vi phạm; hợp đồng cộng tác viên TGPL bị chấm dứt hoặc không thực hiện nghĩa vụ ký kết trong thời hạn theo quy định, cũng như khi bị xử lý kỷ luật nghiêm trọng, bị áp dụng biện pháp xử lý hành chính đưa vào cơ sở cai nghiện bắt buộc hoặc cơ sở giáo dục bắt buộc; bị kết án theo bản án có hiệu lực pháp luật.</w:t>
      </w:r>
    </w:p>
    <w:p>
      <w:pPr>
        <w:spacing w:before="120" w:after="120" w:line="240" w:lineRule="auto"/>
        <w:ind w:firstLine="720"/>
        <w:jc w:val="both"/>
        <w:rPr>
          <w:rFonts w:asciiTheme="majorHAnsi" w:hAnsiTheme="majorHAnsi" w:cstheme="majorHAnsi"/>
          <w:bCs/>
          <w:szCs w:val="28"/>
          <w:shd w:val="clear" w:color="auto" w:fill="FFFFFF"/>
          <w:lang w:val="vi-VN"/>
        </w:rPr>
      </w:pPr>
      <w:r>
        <w:rPr>
          <w:rFonts w:asciiTheme="majorHAnsi" w:hAnsiTheme="majorHAnsi" w:cstheme="majorHAnsi"/>
          <w:bCs/>
          <w:szCs w:val="28"/>
          <w:shd w:val="clear" w:color="auto" w:fill="FFFFFF"/>
          <w:lang w:val="vi-VN"/>
        </w:rPr>
        <w:t xml:space="preserve">Như vậy, với việc hoàn thiện đồng bộ từ điều kiện cấp thẻ đến các trường hợp thu hồi thẻ cộng tác viên TGPL, Luật đã thiết lập cơ chế quản lý cộng tác viên TGPL theo hướng chặt chẽ, liên tục và bảo đảm chất lượng, hiệu quả hoạt động hơn. Quy định này không chỉ góp phần nâng cao chất lượng, trách nhiệm của đội ngũ cộng tác viên TGPL mà còn bảo đảm tính minh bạch trong hoạt động TGPL, qua đó phục vụ tốt hơn quyền và lợi ích hợp pháp của người được TGPL. </w:t>
      </w:r>
    </w:p>
    <w:p>
      <w:pPr>
        <w:spacing w:before="120" w:after="120" w:line="240" w:lineRule="auto"/>
        <w:ind w:firstLine="720"/>
        <w:jc w:val="both"/>
        <w:rPr>
          <w:rFonts w:asciiTheme="majorHAnsi" w:hAnsiTheme="majorHAnsi" w:cstheme="majorHAnsi"/>
          <w:b/>
          <w:szCs w:val="28"/>
          <w:shd w:val="clear" w:color="auto" w:fill="FFFFFF"/>
          <w:lang w:val="vi-VN"/>
        </w:rPr>
      </w:pPr>
      <w:r>
        <w:rPr>
          <w:rFonts w:asciiTheme="majorHAnsi" w:hAnsiTheme="majorHAnsi" w:cstheme="majorHAnsi"/>
          <w:b/>
          <w:szCs w:val="28"/>
          <w:shd w:val="clear" w:color="auto" w:fill="FFFFFF"/>
          <w:lang w:val="vi-VN"/>
        </w:rPr>
        <w:t>7. Tăng cường trách nhiệm của UBND cấp xã trong hoạt động TGPL</w:t>
      </w:r>
    </w:p>
    <w:p>
      <w:pPr>
        <w:pStyle w:val="FootnoteText"/>
        <w:spacing w:before="120" w:after="120"/>
        <w:ind w:firstLine="720"/>
        <w:jc w:val="both"/>
        <w:rPr>
          <w:rFonts w:asciiTheme="majorHAnsi" w:hAnsiTheme="majorHAnsi" w:cstheme="majorHAnsi"/>
          <w:szCs w:val="28"/>
          <w:lang w:val="vi-VN"/>
        </w:rPr>
      </w:pPr>
      <w:r>
        <w:rPr>
          <w:rFonts w:asciiTheme="majorHAnsi" w:hAnsiTheme="majorHAnsi" w:cstheme="majorHAnsi"/>
          <w:bCs/>
          <w:szCs w:val="28"/>
          <w:shd w:val="clear" w:color="auto" w:fill="FFFFFF"/>
          <w:lang w:val="vi-VN"/>
        </w:rPr>
        <w:t xml:space="preserve">Luật đã bổ sung quy định trách nhiệm của </w:t>
      </w:r>
      <w:r>
        <w:rPr>
          <w:rFonts w:asciiTheme="majorHAnsi" w:hAnsiTheme="majorHAnsi" w:cstheme="majorHAnsi"/>
          <w:bCs/>
          <w:szCs w:val="28"/>
          <w:shd w:val="clear" w:color="auto" w:fill="FFFFFF"/>
          <w:lang w:val="en-US"/>
        </w:rPr>
        <w:t>UBND</w:t>
      </w:r>
      <w:r>
        <w:rPr>
          <w:rFonts w:asciiTheme="majorHAnsi" w:hAnsiTheme="majorHAnsi" w:cstheme="majorHAnsi"/>
          <w:bCs/>
          <w:szCs w:val="28"/>
          <w:shd w:val="clear" w:color="auto" w:fill="FFFFFF"/>
          <w:lang w:val="vi-VN"/>
        </w:rPr>
        <w:t xml:space="preserve"> cấp xã trong công tác TGPL (</w:t>
      </w:r>
      <w:r>
        <w:rPr>
          <w:rFonts w:asciiTheme="majorHAnsi" w:hAnsiTheme="majorHAnsi" w:cstheme="majorHAnsi"/>
          <w:szCs w:val="28"/>
          <w:lang w:val="vi-VN"/>
        </w:rPr>
        <w:t xml:space="preserve">hiện nay, </w:t>
      </w:r>
      <w:r>
        <w:rPr>
          <w:rFonts w:asciiTheme="majorHAnsi" w:hAnsiTheme="majorHAnsi" w:cstheme="majorHAnsi"/>
          <w:szCs w:val="28"/>
        </w:rPr>
        <w:t xml:space="preserve">khoản 12 Điều 2 của Thông tư số 03/2021/TT-BTP </w:t>
      </w:r>
      <w:r>
        <w:rPr>
          <w:rFonts w:asciiTheme="majorHAnsi" w:hAnsiTheme="majorHAnsi" w:cstheme="majorHAnsi"/>
          <w:szCs w:val="28"/>
          <w:lang w:val="en-US"/>
        </w:rPr>
        <w:t>quy định</w:t>
      </w:r>
      <w:r>
        <w:rPr>
          <w:rFonts w:asciiTheme="majorHAnsi" w:hAnsiTheme="majorHAnsi" w:cstheme="majorHAnsi"/>
          <w:szCs w:val="28"/>
        </w:rPr>
        <w:t xml:space="preserve"> trong quá trình thực hiện nhiệm vụ liên quan đến công dân, </w:t>
      </w:r>
      <w:r>
        <w:rPr>
          <w:rFonts w:asciiTheme="majorHAnsi" w:hAnsiTheme="majorHAnsi" w:cstheme="majorHAnsi"/>
          <w:szCs w:val="28"/>
          <w:lang w:val="en-US"/>
        </w:rPr>
        <w:t>UBND</w:t>
      </w:r>
      <w:r>
        <w:rPr>
          <w:rFonts w:asciiTheme="majorHAnsi" w:hAnsiTheme="majorHAnsi" w:cstheme="majorHAnsi"/>
          <w:szCs w:val="28"/>
        </w:rPr>
        <w:t xml:space="preserve"> cấp xã có trách nhiệm giải thích quyền được trợ giúp pháp lý và giới thiệu đến Trung tâm</w:t>
      </w:r>
      <w:r>
        <w:rPr>
          <w:rFonts w:asciiTheme="majorHAnsi" w:hAnsiTheme="majorHAnsi" w:cstheme="majorHAnsi"/>
          <w:szCs w:val="28"/>
          <w:lang w:val="en-US"/>
        </w:rPr>
        <w:t>)</w:t>
      </w:r>
      <w:r>
        <w:rPr>
          <w:rFonts w:asciiTheme="majorHAnsi" w:hAnsiTheme="majorHAnsi" w:cstheme="majorHAnsi"/>
          <w:bCs/>
          <w:szCs w:val="28"/>
          <w:shd w:val="clear" w:color="auto" w:fill="FFFFFF"/>
          <w:lang w:val="vi-VN"/>
        </w:rPr>
        <w:t xml:space="preserve">. Việc luật hoá nội dung này trong Luật có ý nghĩa quan trọng trong việc nâng cao hiệu lực pháp lý và tính thống nhất trong tổ chức thực hiện. Quy định này góp phần phát huy vai trò của cấp chính quyền gần dân nhất trong việc phát hiện, hướng dẫn kịp thời người thuộc diện được TGPL tiếp cận tổ chức thực hiện TGPL. </w:t>
      </w:r>
    </w:p>
    <w:p>
      <w:pPr>
        <w:spacing w:before="120" w:after="120" w:line="240" w:lineRule="auto"/>
        <w:ind w:firstLine="720"/>
        <w:jc w:val="both"/>
        <w:rPr>
          <w:rFonts w:asciiTheme="majorHAnsi" w:hAnsiTheme="majorHAnsi" w:cstheme="majorHAnsi"/>
          <w:b/>
          <w:szCs w:val="28"/>
          <w:shd w:val="clear" w:color="auto" w:fill="FFFFFF"/>
          <w:lang w:val="vi-VN"/>
        </w:rPr>
      </w:pPr>
      <w:r>
        <w:rPr>
          <w:rFonts w:asciiTheme="majorHAnsi" w:hAnsiTheme="majorHAnsi" w:cstheme="majorHAnsi"/>
          <w:b/>
          <w:szCs w:val="28"/>
          <w:shd w:val="clear" w:color="auto" w:fill="FFFFFF"/>
          <w:lang w:val="vi-VN"/>
        </w:rPr>
        <w:lastRenderedPageBreak/>
        <w:t>8. Tăng cường trách nhiệm của Mặt trận tổ quốc Việt Nam và các tổ chức thành viên trong hoạt động TGPL</w:t>
      </w:r>
    </w:p>
    <w:p>
      <w:pPr>
        <w:spacing w:before="120" w:after="120" w:line="240" w:lineRule="auto"/>
        <w:ind w:firstLine="720"/>
        <w:jc w:val="both"/>
        <w:rPr>
          <w:rFonts w:asciiTheme="majorHAnsi" w:hAnsiTheme="majorHAnsi" w:cstheme="majorHAnsi"/>
          <w:bCs/>
          <w:szCs w:val="28"/>
          <w:shd w:val="clear" w:color="auto" w:fill="FFFFFF"/>
          <w:lang w:val="vi-VN"/>
        </w:rPr>
      </w:pPr>
      <w:r>
        <w:rPr>
          <w:rFonts w:asciiTheme="majorHAnsi" w:hAnsiTheme="majorHAnsi" w:cstheme="majorHAnsi"/>
          <w:bCs/>
          <w:szCs w:val="28"/>
          <w:shd w:val="clear" w:color="auto" w:fill="FFFFFF"/>
          <w:lang w:val="vi-VN"/>
        </w:rPr>
        <w:t xml:space="preserve">Luật đã sửa đổi, bổ sung Điều 42 quy định rõ hơn trách nhiệm của Mặt trận Tổ quốc Việt Nam và các tổ chức thành viên trong công tác TGPL. Lần đầu tiên vai trò giám sát việc thực hiện chính sách, pháp luật về TGPL của Mặt trận Tổ quốc Việt Nam và các tổ chức thành viên được ghi nhận trực tiếp trong luật, qua đó khẳng định vị trí của tổ chức này không chỉ là chủ thể phối hợp mà còn là lực </w:t>
      </w:r>
      <w:r>
        <w:rPr>
          <w:rFonts w:asciiTheme="majorHAnsi" w:hAnsiTheme="majorHAnsi" w:cstheme="majorHAnsi"/>
          <w:bCs/>
          <w:spacing w:val="-6"/>
          <w:szCs w:val="28"/>
          <w:shd w:val="clear" w:color="auto" w:fill="FFFFFF"/>
          <w:lang w:val="vi-VN"/>
        </w:rPr>
        <w:t>lượng tham gia bảo đảm tính minh bạch, hiệu quả trong tổ chức thực hiện chính sách.</w:t>
      </w:r>
    </w:p>
    <w:p>
      <w:pPr>
        <w:spacing w:before="120" w:after="120" w:line="240" w:lineRule="auto"/>
        <w:ind w:firstLine="720"/>
        <w:jc w:val="both"/>
        <w:rPr>
          <w:rFonts w:asciiTheme="majorHAnsi" w:hAnsiTheme="majorHAnsi" w:cstheme="majorHAnsi"/>
          <w:b/>
          <w:szCs w:val="28"/>
          <w:shd w:val="clear" w:color="auto" w:fill="FFFFFF"/>
          <w:lang w:val="vi-VN"/>
        </w:rPr>
      </w:pPr>
      <w:r>
        <w:rPr>
          <w:rFonts w:asciiTheme="majorHAnsi" w:hAnsiTheme="majorHAnsi" w:cstheme="majorHAnsi"/>
          <w:b/>
          <w:szCs w:val="28"/>
          <w:shd w:val="clear" w:color="auto" w:fill="FFFFFF"/>
          <w:lang w:val="vi-VN"/>
        </w:rPr>
        <w:t>9. Bổ sung quy định về chuyển vụ việc TGPL</w:t>
      </w:r>
    </w:p>
    <w:p>
      <w:pPr>
        <w:spacing w:before="120" w:after="120" w:line="240" w:lineRule="auto"/>
        <w:ind w:firstLine="720"/>
        <w:jc w:val="both"/>
        <w:rPr>
          <w:rFonts w:asciiTheme="majorHAnsi" w:hAnsiTheme="majorHAnsi" w:cstheme="majorHAnsi"/>
          <w:bCs/>
          <w:szCs w:val="28"/>
          <w:shd w:val="clear" w:color="auto" w:fill="FFFFFF"/>
          <w:lang w:val="vi-VN"/>
        </w:rPr>
      </w:pPr>
      <w:r>
        <w:rPr>
          <w:rFonts w:asciiTheme="majorHAnsi" w:hAnsiTheme="majorHAnsi" w:cstheme="majorHAnsi"/>
          <w:bCs/>
          <w:szCs w:val="28"/>
          <w:shd w:val="clear" w:color="auto" w:fill="FFFFFF"/>
          <w:lang w:val="vi-VN"/>
        </w:rPr>
        <w:t>Luật tiếp tục hoàn thiện cơ chế bảo đảm quyền được TGPL của người dân với một điểm mới thiết thực: bổ sung quy định về chuyển vụ việc TGPL giữa các Trung tâm TGPL nhà nước. Quy định này xuất phát từ thực tiễn nhiều vụ việc tham gia t</w:t>
      </w:r>
      <w:r>
        <w:rPr>
          <w:rFonts w:asciiTheme="majorHAnsi" w:hAnsiTheme="majorHAnsi" w:cstheme="majorHAnsi"/>
          <w:bCs/>
          <w:szCs w:val="28"/>
          <w:shd w:val="clear" w:color="auto" w:fill="FFFFFF"/>
          <w:lang w:val="en-US"/>
        </w:rPr>
        <w:t>ố</w:t>
      </w:r>
      <w:r>
        <w:rPr>
          <w:rFonts w:asciiTheme="majorHAnsi" w:hAnsiTheme="majorHAnsi" w:cstheme="majorHAnsi"/>
          <w:bCs/>
          <w:szCs w:val="28"/>
          <w:shd w:val="clear" w:color="auto" w:fill="FFFFFF"/>
          <w:lang w:val="vi-VN"/>
        </w:rPr>
        <w:t xml:space="preserve"> tụng được chuyển địa bàn giải quyết, người thực hiện TGPL ban đầu có thể phải mất nhiều thời gian đi lại, chi phí cao. Theo quy định mới, khi một vụ việc TGPL đã được chuyển cho cơ quan có thẩm quyền tiến hành tố tụng và cơ quan tiến hành tố tụng tại địa phương khác giải quyết, Trung tâm TGPL đang thực hiện có thể chuyển vụ việc cho Trung tâm tại địa phương nơi cơ quan tiến hành tố tụng đang giải quyết. Đồng thời, việc chuyển này phải được thông báo để người được TGPL biết, bảo đảm tính minh bạch và quyền được thông tin của người dân. Điểm mới này tạo điều kiện để người thực hiện TGPL tiếp cận vụ việc thuận lợi hơn, bám sát quá trình giải quyết của cơ quan tiến hành tố tụng, từ đó nâng cao chất lượng tham gia bảo vệ quyền và lợi ích hợp pháp của người được TGPL, đồng thời góp phần tối ưu hóa nguồn lực giữa các Trung tâm, phát huy hiệu quả mạng lưới TGPL trên phạm vi cả nước.</w:t>
      </w:r>
    </w:p>
    <w:p>
      <w:pPr>
        <w:spacing w:before="120" w:after="120" w:line="240" w:lineRule="auto"/>
        <w:ind w:firstLine="720"/>
        <w:jc w:val="both"/>
        <w:rPr>
          <w:rFonts w:asciiTheme="majorHAnsi" w:hAnsiTheme="majorHAnsi" w:cstheme="majorHAnsi"/>
          <w:b/>
          <w:szCs w:val="28"/>
          <w:shd w:val="clear" w:color="auto" w:fill="FFFFFF"/>
          <w:lang w:val="vi-VN"/>
        </w:rPr>
      </w:pPr>
      <w:r>
        <w:rPr>
          <w:rFonts w:asciiTheme="majorHAnsi" w:hAnsiTheme="majorHAnsi" w:cstheme="majorHAnsi"/>
          <w:b/>
          <w:szCs w:val="28"/>
          <w:shd w:val="clear" w:color="auto" w:fill="FFFFFF"/>
          <w:lang w:val="vi-VN"/>
        </w:rPr>
        <w:t>10. Cắt giảm, đơn giản hoá thủ tục hành chính</w:t>
      </w:r>
    </w:p>
    <w:p>
      <w:pPr>
        <w:spacing w:before="120" w:after="120" w:line="240" w:lineRule="auto"/>
        <w:ind w:firstLine="720"/>
        <w:jc w:val="both"/>
        <w:rPr>
          <w:rFonts w:asciiTheme="majorHAnsi" w:hAnsiTheme="majorHAnsi" w:cstheme="majorHAnsi"/>
          <w:bCs/>
          <w:szCs w:val="28"/>
          <w:shd w:val="clear" w:color="auto" w:fill="FFFFFF"/>
          <w:lang w:val="vi-VN"/>
        </w:rPr>
      </w:pPr>
      <w:r>
        <w:rPr>
          <w:rFonts w:asciiTheme="majorHAnsi" w:hAnsiTheme="majorHAnsi" w:cstheme="majorHAnsi"/>
          <w:bCs/>
          <w:szCs w:val="28"/>
          <w:shd w:val="clear" w:color="auto" w:fill="FFFFFF"/>
          <w:lang w:val="vi-VN"/>
        </w:rPr>
        <w:t>Một trong những điểm mới của Luật là thiết kế theo hướng ngắn gọn, làm rõ và mở rộng các nguyên tắc, chính sách lớn; đồng thời, những vấn đề mang tính quy trình, trình tự, thủ tục được giao cho Chính phủ và các cơ quan có thẩm quyền quy định chi tiết, bảo đảm tính linh hoạt và phù hợp với yêu cầu thực tiễn của từng giai đoạn.</w:t>
      </w:r>
    </w:p>
    <w:p>
      <w:pPr>
        <w:spacing w:before="120" w:after="120" w:line="240" w:lineRule="auto"/>
        <w:ind w:firstLine="720"/>
        <w:jc w:val="both"/>
        <w:rPr>
          <w:rFonts w:asciiTheme="majorHAnsi" w:hAnsiTheme="majorHAnsi" w:cstheme="majorHAnsi"/>
          <w:bCs/>
          <w:szCs w:val="28"/>
          <w:shd w:val="clear" w:color="auto" w:fill="FFFFFF"/>
          <w:lang w:val="vi-VN"/>
        </w:rPr>
      </w:pPr>
      <w:r>
        <w:rPr>
          <w:rFonts w:asciiTheme="majorHAnsi" w:hAnsiTheme="majorHAnsi" w:cstheme="majorHAnsi"/>
          <w:bCs/>
          <w:szCs w:val="28"/>
          <w:shd w:val="clear" w:color="auto" w:fill="FFFFFF"/>
          <w:lang w:val="vi-VN"/>
        </w:rPr>
        <w:t xml:space="preserve">Cụ thể, một số nội dung trước đây được quy định cụ thể trong Luật </w:t>
      </w:r>
      <w:r>
        <w:rPr>
          <w:rFonts w:asciiTheme="majorHAnsi" w:hAnsiTheme="majorHAnsi" w:cstheme="majorHAnsi"/>
          <w:szCs w:val="28"/>
        </w:rPr>
        <w:t xml:space="preserve">số 11/2017/QH14 </w:t>
      </w:r>
      <w:r>
        <w:rPr>
          <w:rFonts w:asciiTheme="majorHAnsi" w:hAnsiTheme="majorHAnsi" w:cstheme="majorHAnsi"/>
          <w:bCs/>
          <w:szCs w:val="28"/>
          <w:shd w:val="clear" w:color="auto" w:fill="FFFFFF"/>
          <w:lang w:val="vi-VN"/>
        </w:rPr>
        <w:t>như: thời hạn, hồ sơ bổ nhiệm và cấp thẻ trợ giúp viên pháp lý; hồ sơ, quy trình miễn nhiệm, thu hồi thẻ trợ giúp viên pháp lý; thời hạn cử người thực hiện TGPL trong các vụ việc: tư vấn pháp luật, đại diện ngoài tố tụng…đã được chỉnh sửa theo hướng tinh gọn hơn, giao Chính phủ hoặc Bộ trưởng Bộ Tư pháp hướng dẫn chi tiết tạo linh hoạt, phù hợp với tinh thần và định hướng của Nghị quyết số 66-NQ/TW ngày 30/4/2025 và Kết luận 119-KL/TW ngày 20/01/2025 của Bộ Chính trị.</w:t>
      </w:r>
    </w:p>
    <w:p>
      <w:pPr>
        <w:spacing w:before="120" w:after="120" w:line="240" w:lineRule="auto"/>
        <w:ind w:firstLine="720"/>
        <w:jc w:val="both"/>
        <w:rPr>
          <w:rFonts w:asciiTheme="majorHAnsi" w:hAnsiTheme="majorHAnsi" w:cstheme="majorHAnsi"/>
          <w:b/>
          <w:spacing w:val="-4"/>
          <w:szCs w:val="28"/>
          <w:shd w:val="clear" w:color="auto" w:fill="FFFFFF"/>
          <w:lang w:val="vi-VN"/>
        </w:rPr>
      </w:pPr>
      <w:r>
        <w:rPr>
          <w:rFonts w:asciiTheme="majorHAnsi" w:hAnsiTheme="majorHAnsi" w:cstheme="majorHAnsi"/>
          <w:b/>
          <w:spacing w:val="-4"/>
          <w:szCs w:val="28"/>
          <w:shd w:val="clear" w:color="auto" w:fill="FFFFFF"/>
          <w:lang w:val="vi-VN"/>
        </w:rPr>
        <w:t>11. Ứng dụng công nghệ thông tin, đẩy mạnh chuyển đổi số trong TGPL</w:t>
      </w:r>
    </w:p>
    <w:p>
      <w:pPr>
        <w:spacing w:before="120" w:after="120" w:line="240" w:lineRule="auto"/>
        <w:ind w:firstLine="720"/>
        <w:jc w:val="both"/>
        <w:rPr>
          <w:rFonts w:asciiTheme="majorHAnsi" w:hAnsiTheme="majorHAnsi" w:cstheme="majorHAnsi"/>
          <w:bCs/>
          <w:szCs w:val="28"/>
          <w:shd w:val="clear" w:color="auto" w:fill="FFFFFF"/>
          <w:lang w:val="vi-VN"/>
        </w:rPr>
      </w:pPr>
      <w:r>
        <w:rPr>
          <w:rFonts w:asciiTheme="majorHAnsi" w:hAnsiTheme="majorHAnsi" w:cstheme="majorHAnsi"/>
          <w:bCs/>
          <w:szCs w:val="28"/>
          <w:shd w:val="clear" w:color="auto" w:fill="FFFFFF"/>
          <w:lang w:val="vi-VN"/>
        </w:rPr>
        <w:t xml:space="preserve">Luật đánh dấu bước chuyển mạnh mẽ trong việc hiện đại hóa hoạt động TGPL, khi lần đầu tiên nội dung ứng dụng công nghệ thông tin và chuyển đổi số </w:t>
      </w:r>
      <w:r>
        <w:rPr>
          <w:rFonts w:asciiTheme="majorHAnsi" w:hAnsiTheme="majorHAnsi" w:cstheme="majorHAnsi"/>
          <w:bCs/>
          <w:szCs w:val="28"/>
          <w:shd w:val="clear" w:color="auto" w:fill="FFFFFF"/>
          <w:lang w:val="vi-VN"/>
        </w:rPr>
        <w:lastRenderedPageBreak/>
        <w:t xml:space="preserve">được quy định  trong luật. Đây không chỉ là yêu cầu tất yếu trong bối cảnh chuyển đổi số quốc gia, mà còn là giải pháp đột phá nhằm nâng cao chất lượng, hiệu quả phục vụ người dân, đặc biệt là các nhóm yếu thế. </w:t>
      </w:r>
    </w:p>
    <w:p>
      <w:pPr>
        <w:spacing w:before="120" w:after="120" w:line="240" w:lineRule="auto"/>
        <w:ind w:firstLine="720"/>
        <w:jc w:val="both"/>
        <w:rPr>
          <w:rFonts w:asciiTheme="majorHAnsi" w:hAnsiTheme="majorHAnsi" w:cstheme="majorHAnsi"/>
          <w:bCs/>
          <w:i/>
          <w:iCs/>
          <w:szCs w:val="28"/>
          <w:shd w:val="clear" w:color="auto" w:fill="FFFFFF"/>
          <w:lang w:val="vi-VN"/>
        </w:rPr>
      </w:pPr>
      <w:r>
        <w:rPr>
          <w:rFonts w:asciiTheme="majorHAnsi" w:hAnsiTheme="majorHAnsi" w:cstheme="majorHAnsi"/>
          <w:bCs/>
          <w:szCs w:val="28"/>
          <w:shd w:val="clear" w:color="auto" w:fill="FFFFFF"/>
          <w:lang w:val="vi-VN"/>
        </w:rPr>
        <w:t>Theo quy định mới, Bộ Tư pháp được giao vai trò đầu mối, chủ trì triển khai ứng dụng công nghệ thông tin, công nghệ số trong hoạt động TGPL, đồng thời, xây dựng, quản lý, vận hành và thường xuyên nâng cấp hệ thống thông tin, cơ sở dữ liệu TGPL. Đáng chú ý, dữ liệu TGPL sẽ được kết nối, tích hợp, chia sẻ với Cổng Pháp luật quốc gia, tạo nền tảng thống nhất, đồng bộ, góp phần hình thành “hệ sinh thái số” trong lĩnh vực TGPL.</w:t>
      </w:r>
    </w:p>
    <w:p>
      <w:pPr>
        <w:spacing w:before="120" w:after="120" w:line="240" w:lineRule="auto"/>
        <w:ind w:firstLine="720"/>
        <w:jc w:val="both"/>
        <w:rPr>
          <w:rFonts w:asciiTheme="majorHAnsi" w:hAnsiTheme="majorHAnsi" w:cstheme="majorHAnsi"/>
          <w:bCs/>
          <w:szCs w:val="28"/>
          <w:shd w:val="clear" w:color="auto" w:fill="FFFFFF"/>
          <w:lang w:val="vi-VN"/>
        </w:rPr>
      </w:pPr>
      <w:r>
        <w:rPr>
          <w:rFonts w:asciiTheme="majorHAnsi" w:hAnsiTheme="majorHAnsi" w:cstheme="majorHAnsi"/>
          <w:bCs/>
          <w:szCs w:val="28"/>
          <w:shd w:val="clear" w:color="auto" w:fill="FFFFFF"/>
          <w:lang w:val="vi-VN"/>
        </w:rPr>
        <w:t xml:space="preserve">Không chỉ dừng lại ở cấp Trung ương, Luật còn đặt ra yêu cầu phối hợp chặt chẽ giữa các bộ, ngành, địa phương và các cơ quan tiến hành tố tụng trong việc tạo lập, tích hợp, chia sẻ và khai thác dữ liệu TGPL. </w:t>
      </w:r>
      <w:r>
        <w:rPr>
          <w:rFonts w:asciiTheme="majorHAnsi" w:hAnsiTheme="majorHAnsi" w:cstheme="majorHAnsi"/>
          <w:bCs/>
          <w:szCs w:val="28"/>
          <w:shd w:val="clear" w:color="auto" w:fill="FFFFFF"/>
          <w:lang w:val="en-US"/>
        </w:rPr>
        <w:t>UBND</w:t>
      </w:r>
      <w:r>
        <w:rPr>
          <w:rFonts w:asciiTheme="majorHAnsi" w:hAnsiTheme="majorHAnsi" w:cstheme="majorHAnsi"/>
          <w:bCs/>
          <w:szCs w:val="28"/>
          <w:shd w:val="clear" w:color="auto" w:fill="FFFFFF"/>
          <w:lang w:val="vi-VN"/>
        </w:rPr>
        <w:t xml:space="preserve"> cấp tỉnh có trách nhiệm phối hợp với Bộ Tư pháp để bảo đảm dữ liệu TGPL tại địa phương được kết nối, liên thông với hệ thống chung; các bộ, cơ quan ngang bộ và cơ quan liên quan trong tố tụng cũng có trách nhiệm tham gia vào quá trình này. Những quy định này sẽ tạo cơ sở hình thành mạng lưới dữ liệu liên thông, phục vụ hiệu quả cho công tác quản lý, điều hành cũng như hỗ trợ người dân tiếp cận thông tin và dịch vụ TGPL một cách nhanh chóng, thuận tiện.</w:t>
      </w:r>
    </w:p>
    <w:p>
      <w:pPr>
        <w:spacing w:before="120" w:after="120" w:line="240" w:lineRule="auto"/>
        <w:ind w:firstLine="720"/>
        <w:jc w:val="both"/>
        <w:rPr>
          <w:rFonts w:asciiTheme="majorHAnsi" w:hAnsiTheme="majorHAnsi" w:cstheme="majorHAnsi"/>
          <w:bCs/>
          <w:szCs w:val="28"/>
          <w:shd w:val="clear" w:color="auto" w:fill="FFFFFF"/>
          <w:lang w:val="vi-VN"/>
        </w:rPr>
      </w:pPr>
      <w:r>
        <w:rPr>
          <w:rFonts w:asciiTheme="majorHAnsi" w:hAnsiTheme="majorHAnsi" w:cstheme="majorHAnsi"/>
          <w:bCs/>
          <w:szCs w:val="28"/>
          <w:shd w:val="clear" w:color="auto" w:fill="FFFFFF"/>
          <w:lang w:val="vi-VN"/>
        </w:rPr>
        <w:t>Việc đẩy mạnh chuyển đổi số trong Luật không chỉ giúp nâng cao tính công khai, minh bạch, giảm thủ tục hành chính mà còn tạo điều kiện để người dân, ở bất kỳ đâu, có thể tiếp cận dịch vụ TGPL một cách dễ dàng hơn. Đây là bước tiến quan trọng góp phần đưa chính sách TGPL đến gần hơn với người dân, phù hợp với mục tiêu xây dựng Chính phủ số, xã hội số.</w:t>
      </w:r>
    </w:p>
    <w:p>
      <w:pPr>
        <w:pStyle w:val="Heading1"/>
        <w:spacing w:before="120" w:after="120" w:line="240" w:lineRule="auto"/>
        <w:ind w:firstLine="720"/>
        <w:jc w:val="both"/>
        <w:rPr>
          <w:rFonts w:cstheme="majorHAnsi"/>
          <w:b/>
          <w:color w:val="auto"/>
          <w:sz w:val="28"/>
          <w:szCs w:val="28"/>
          <w:lang w:val="vi-VN"/>
        </w:rPr>
      </w:pPr>
      <w:r>
        <w:rPr>
          <w:rFonts w:cstheme="majorHAnsi"/>
          <w:b/>
          <w:color w:val="auto"/>
          <w:sz w:val="28"/>
          <w:szCs w:val="28"/>
          <w:lang w:val="vi-VN"/>
        </w:rPr>
        <w:t xml:space="preserve">PHẦN III. TỔ CHỨC THỰC HIỆN </w:t>
      </w:r>
    </w:p>
    <w:p>
      <w:pPr>
        <w:pStyle w:val="Heading2"/>
        <w:spacing w:before="120" w:after="120"/>
        <w:ind w:firstLine="720"/>
        <w:jc w:val="both"/>
        <w:rPr>
          <w:rFonts w:asciiTheme="majorHAnsi" w:hAnsiTheme="majorHAnsi" w:cstheme="majorHAnsi"/>
          <w:i w:val="0"/>
        </w:rPr>
      </w:pPr>
      <w:r>
        <w:rPr>
          <w:rFonts w:asciiTheme="majorHAnsi" w:hAnsiTheme="majorHAnsi" w:cstheme="majorHAnsi"/>
          <w:i w:val="0"/>
        </w:rPr>
        <w:t>I. CÁC ĐIỀU KIỆN BẢO ĐẢM THỰC HIỆN</w:t>
      </w:r>
    </w:p>
    <w:p>
      <w:pPr>
        <w:spacing w:before="120" w:after="120" w:line="240" w:lineRule="auto"/>
        <w:ind w:firstLine="720"/>
        <w:jc w:val="both"/>
        <w:rPr>
          <w:rFonts w:asciiTheme="majorHAnsi" w:hAnsiTheme="majorHAnsi" w:cstheme="majorHAnsi"/>
          <w:szCs w:val="28"/>
        </w:rPr>
      </w:pPr>
      <w:r>
        <w:rPr>
          <w:rFonts w:asciiTheme="majorHAnsi" w:hAnsiTheme="majorHAnsi" w:cstheme="majorHAnsi"/>
          <w:szCs w:val="28"/>
        </w:rPr>
        <w:t xml:space="preserve">Kinh phí triển khai Luật được bảo đảm trong dự toán ngân sách nhà nước hằng năm theo quy định của pháp luật có liên quan. Cùng với kinh phí thường xuyên cho hoạt động </w:t>
      </w:r>
      <w:r>
        <w:rPr>
          <w:rFonts w:asciiTheme="majorHAnsi" w:hAnsiTheme="majorHAnsi" w:cstheme="majorHAnsi"/>
          <w:bCs/>
          <w:szCs w:val="28"/>
          <w:shd w:val="clear" w:color="auto" w:fill="FFFFFF"/>
          <w:lang w:val="vi-VN"/>
        </w:rPr>
        <w:t>TGPL</w:t>
      </w:r>
      <w:r>
        <w:rPr>
          <w:rFonts w:asciiTheme="majorHAnsi" w:hAnsiTheme="majorHAnsi" w:cstheme="majorHAnsi"/>
          <w:szCs w:val="28"/>
        </w:rPr>
        <w:t>, Luật tạo cơ sở để ưu tiên nguồn lực cho vụ việc phức tạp, điển hình và cho các nhiệm vụ ứng dụng công nghệ thông tin, chuyển đổi số, quản trị dữ liệu.</w:t>
      </w:r>
    </w:p>
    <w:p>
      <w:pPr>
        <w:spacing w:before="120" w:after="120" w:line="240" w:lineRule="auto"/>
        <w:ind w:firstLine="720"/>
        <w:jc w:val="both"/>
        <w:rPr>
          <w:rFonts w:asciiTheme="majorHAnsi" w:hAnsiTheme="majorHAnsi" w:cstheme="majorHAnsi"/>
          <w:szCs w:val="28"/>
        </w:rPr>
      </w:pPr>
      <w:r>
        <w:rPr>
          <w:rFonts w:asciiTheme="majorHAnsi" w:hAnsiTheme="majorHAnsi" w:cstheme="majorHAnsi"/>
          <w:szCs w:val="28"/>
        </w:rPr>
        <w:t>Về tổ chức và nhân lực, cần tiếp tục củng cố Trung tâm Trợ giúp pháp lý nhà nước, đội ngũ trợ giúp viên pháp lý; rà soát nhu cầu thành lập, tổ chức Chi nhánh theo điều kiện kinh tế - xã hội và nhu cầu trợ giúp pháp lý thực tế; đồng thời khai thác nguồn lực cộng tác viên có kinh nghiệm, bảo đảm đúng tiêu chuẩn và điều kiện theo Luật.</w:t>
      </w:r>
    </w:p>
    <w:p>
      <w:pPr>
        <w:spacing w:before="120" w:after="120" w:line="240" w:lineRule="auto"/>
        <w:ind w:firstLine="720"/>
        <w:jc w:val="both"/>
        <w:rPr>
          <w:rFonts w:asciiTheme="majorHAnsi" w:hAnsiTheme="majorHAnsi" w:cstheme="majorHAnsi"/>
          <w:szCs w:val="28"/>
        </w:rPr>
      </w:pPr>
      <w:r>
        <w:rPr>
          <w:rFonts w:asciiTheme="majorHAnsi" w:hAnsiTheme="majorHAnsi" w:cstheme="majorHAnsi"/>
          <w:szCs w:val="28"/>
        </w:rPr>
        <w:t xml:space="preserve">Về phối hợp, hoạt động trợ giúp pháp lý có tính liên ngành cao, nhất là trong tố tụng. Vì vậy cần duy trì cơ chế phối hợp giữa cơ quan tư pháp, cơ quan tiến hành tố tụng, chính quyền địa phương, Mặt trận Tổ quốc và các tổ chức liên quan, gắn với trách nhiệm giải thích quyền và giới thiệu người thuộc diện được </w:t>
      </w:r>
      <w:r>
        <w:rPr>
          <w:rFonts w:asciiTheme="majorHAnsi" w:hAnsiTheme="majorHAnsi" w:cstheme="majorHAnsi"/>
          <w:bCs/>
          <w:szCs w:val="28"/>
          <w:shd w:val="clear" w:color="auto" w:fill="FFFFFF"/>
          <w:lang w:val="vi-VN"/>
        </w:rPr>
        <w:t>TGPL</w:t>
      </w:r>
      <w:r>
        <w:rPr>
          <w:rFonts w:asciiTheme="majorHAnsi" w:hAnsiTheme="majorHAnsi" w:cstheme="majorHAnsi"/>
          <w:szCs w:val="28"/>
        </w:rPr>
        <w:t xml:space="preserve"> đến tổ chức thực hiện </w:t>
      </w:r>
      <w:r>
        <w:rPr>
          <w:rFonts w:asciiTheme="majorHAnsi" w:hAnsiTheme="majorHAnsi" w:cstheme="majorHAnsi"/>
          <w:bCs/>
          <w:szCs w:val="28"/>
          <w:shd w:val="clear" w:color="auto" w:fill="FFFFFF"/>
          <w:lang w:val="vi-VN"/>
        </w:rPr>
        <w:t>TGPL</w:t>
      </w:r>
      <w:r>
        <w:rPr>
          <w:rFonts w:asciiTheme="majorHAnsi" w:hAnsiTheme="majorHAnsi" w:cstheme="majorHAnsi"/>
          <w:szCs w:val="28"/>
        </w:rPr>
        <w:t>.</w:t>
      </w:r>
    </w:p>
    <w:p>
      <w:pPr>
        <w:pStyle w:val="Heading2"/>
        <w:spacing w:before="120" w:after="120"/>
        <w:ind w:firstLine="720"/>
        <w:jc w:val="both"/>
        <w:rPr>
          <w:rFonts w:asciiTheme="majorHAnsi" w:hAnsiTheme="majorHAnsi" w:cstheme="majorHAnsi"/>
          <w:i w:val="0"/>
        </w:rPr>
      </w:pPr>
      <w:r>
        <w:rPr>
          <w:rFonts w:asciiTheme="majorHAnsi" w:hAnsiTheme="majorHAnsi" w:cstheme="majorHAnsi"/>
          <w:i w:val="0"/>
        </w:rPr>
        <w:lastRenderedPageBreak/>
        <w:t>II. TÁC ĐỘNG CHÍNH SÁCH VÀ NHỮNG VẤN ĐỀ CẦN LƯU Ý</w:t>
      </w:r>
    </w:p>
    <w:p>
      <w:pPr>
        <w:pStyle w:val="Heading3"/>
        <w:spacing w:before="120" w:after="120" w:line="240" w:lineRule="auto"/>
        <w:ind w:firstLine="720"/>
        <w:jc w:val="both"/>
        <w:rPr>
          <w:rFonts w:cstheme="majorHAnsi"/>
          <w:b/>
          <w:color w:val="auto"/>
          <w:sz w:val="28"/>
          <w:szCs w:val="28"/>
        </w:rPr>
      </w:pPr>
      <w:r>
        <w:rPr>
          <w:rFonts w:cstheme="majorHAnsi"/>
          <w:b/>
          <w:color w:val="auto"/>
          <w:sz w:val="28"/>
          <w:szCs w:val="28"/>
        </w:rPr>
        <w:t>1. Tác động chính sách</w:t>
      </w:r>
    </w:p>
    <w:p>
      <w:pPr>
        <w:spacing w:before="120" w:after="120" w:line="240" w:lineRule="auto"/>
        <w:ind w:firstLine="720"/>
        <w:jc w:val="both"/>
        <w:rPr>
          <w:rFonts w:asciiTheme="majorHAnsi" w:hAnsiTheme="majorHAnsi" w:cstheme="majorHAnsi"/>
          <w:szCs w:val="28"/>
        </w:rPr>
      </w:pPr>
      <w:r>
        <w:rPr>
          <w:rFonts w:asciiTheme="majorHAnsi" w:hAnsiTheme="majorHAnsi" w:cstheme="majorHAnsi"/>
          <w:szCs w:val="28"/>
        </w:rPr>
        <w:t>Việc mở rộng diện người được trợ giúp pháp lý giúp nhiều nhóm người có nhu cầu hỗ trợ pháp lý được tiếp cận dịch vụ miễn phí sớm hơn và thuận lợi hơn. Đặc biệt, các nhóm người dân tộc thiểu số, người thuộc hộ nghèo, cận nghèo, người khuyết tật, trẻ em, người cao tuổi thuộc diện hưởng trợ cấp xã hội hằng tháng, người bị bạo lực gia đình, người lao động có thu nhập thấp trong một số vụ việc tố tụng và người gặp khó khăn đột xuất do thiên tai, hỏa hoạn có thêm cơ sở pháp lý để được bảo vệ quyền, lợi ích hợp pháp.</w:t>
      </w:r>
    </w:p>
    <w:p>
      <w:pPr>
        <w:spacing w:before="120" w:after="120" w:line="240" w:lineRule="auto"/>
        <w:ind w:firstLine="720"/>
        <w:jc w:val="both"/>
        <w:rPr>
          <w:rFonts w:asciiTheme="majorHAnsi" w:hAnsiTheme="majorHAnsi" w:cstheme="majorHAnsi"/>
          <w:szCs w:val="28"/>
        </w:rPr>
      </w:pPr>
      <w:r>
        <w:rPr>
          <w:rFonts w:asciiTheme="majorHAnsi" w:hAnsiTheme="majorHAnsi" w:cstheme="majorHAnsi"/>
          <w:szCs w:val="28"/>
        </w:rPr>
        <w:t>Việc luật hóa cơ chế trực trợ giúp pháp lý tại Tòa án nhân dân và trong điều tra hình sự giúp tăng khả năng nhận diện sớm người thuộc diện được trợ giúp pháp lý, hạn chế bỏ sót quyền và nâng cao chất lượng bảo vệ quyền lợi trong tố tụng. Việc mở rộng cộng tác viên và cho phép thực hiện đại diện ngoài tố tụng góp phần tăng khả năng tiếp cận dịch vụ ở cơ sở.</w:t>
      </w:r>
    </w:p>
    <w:p>
      <w:pPr>
        <w:spacing w:before="120" w:after="120" w:line="240" w:lineRule="auto"/>
        <w:ind w:firstLine="720"/>
        <w:jc w:val="both"/>
        <w:rPr>
          <w:rFonts w:asciiTheme="majorHAnsi" w:hAnsiTheme="majorHAnsi" w:cstheme="majorHAnsi"/>
          <w:spacing w:val="-2"/>
          <w:szCs w:val="28"/>
        </w:rPr>
      </w:pPr>
      <w:r>
        <w:rPr>
          <w:rFonts w:asciiTheme="majorHAnsi" w:hAnsiTheme="majorHAnsi" w:cstheme="majorHAnsi"/>
          <w:spacing w:val="-2"/>
          <w:szCs w:val="28"/>
        </w:rPr>
        <w:t>Chuyển đổi số và liên thông dữ liệu tạo điều kiện công khai, minh bạch thông tin, giảm thời gian tìm kiếm, hỗ trợ quản lý và theo dõi vụ việc. Tuy nhiên, việc triển khai cần đồng thời bảo đảm phương thức tiếp cận trực tiếp, dễ hiểu và phù hợp với người dân hạn chế về kỹ năng số hoặc gặp khó khăn trong đi lại, giao tiếp.</w:t>
      </w:r>
    </w:p>
    <w:p>
      <w:pPr>
        <w:pStyle w:val="Heading3"/>
        <w:spacing w:before="120" w:after="120" w:line="240" w:lineRule="auto"/>
        <w:ind w:firstLine="720"/>
        <w:jc w:val="both"/>
        <w:rPr>
          <w:rFonts w:cstheme="majorHAnsi"/>
          <w:b/>
          <w:color w:val="auto"/>
          <w:sz w:val="28"/>
          <w:szCs w:val="28"/>
        </w:rPr>
      </w:pPr>
      <w:r>
        <w:rPr>
          <w:rFonts w:cstheme="majorHAnsi"/>
          <w:b/>
          <w:color w:val="auto"/>
          <w:sz w:val="28"/>
          <w:szCs w:val="28"/>
        </w:rPr>
        <w:t>2. Những vấn đề người dân cần lưu ý</w:t>
      </w:r>
    </w:p>
    <w:p>
      <w:pPr>
        <w:spacing w:before="120" w:after="120" w:line="240" w:lineRule="auto"/>
        <w:ind w:firstLine="720"/>
        <w:jc w:val="both"/>
        <w:rPr>
          <w:rFonts w:asciiTheme="majorHAnsi" w:hAnsiTheme="majorHAnsi" w:cstheme="majorHAnsi"/>
          <w:szCs w:val="28"/>
        </w:rPr>
      </w:pPr>
      <w:r>
        <w:rPr>
          <w:rFonts w:asciiTheme="majorHAnsi" w:hAnsiTheme="majorHAnsi" w:cstheme="majorHAnsi"/>
          <w:szCs w:val="28"/>
        </w:rPr>
        <w:t xml:space="preserve">- </w:t>
      </w:r>
      <w:r>
        <w:rPr>
          <w:rFonts w:asciiTheme="majorHAnsi" w:hAnsiTheme="majorHAnsi" w:cstheme="majorHAnsi"/>
          <w:bCs/>
          <w:szCs w:val="28"/>
          <w:shd w:val="clear" w:color="auto" w:fill="FFFFFF"/>
          <w:lang w:val="vi-VN"/>
        </w:rPr>
        <w:t>TGPL</w:t>
      </w:r>
      <w:r>
        <w:rPr>
          <w:rFonts w:asciiTheme="majorHAnsi" w:hAnsiTheme="majorHAnsi" w:cstheme="majorHAnsi"/>
          <w:szCs w:val="28"/>
        </w:rPr>
        <w:t xml:space="preserve"> là dịch vụ pháp lý miễn phí cho người thuộc diện được trợ giúp pháp lý theo quy định; tổ chức, cá nhân thực hiện trợ giúp pháp lý không được thu tiền hoặc lợi ích vật chất khác từ người được trợ giúp pháp lý.</w:t>
      </w:r>
    </w:p>
    <w:p>
      <w:pPr>
        <w:spacing w:before="120" w:after="120" w:line="240" w:lineRule="auto"/>
        <w:ind w:firstLine="720"/>
        <w:jc w:val="both"/>
        <w:rPr>
          <w:rFonts w:asciiTheme="majorHAnsi" w:hAnsiTheme="majorHAnsi" w:cstheme="majorHAnsi"/>
          <w:szCs w:val="28"/>
        </w:rPr>
      </w:pPr>
      <w:r>
        <w:rPr>
          <w:rFonts w:asciiTheme="majorHAnsi" w:hAnsiTheme="majorHAnsi" w:cstheme="majorHAnsi"/>
          <w:szCs w:val="28"/>
        </w:rPr>
        <w:t>- Khi có nhu cầu, người dân cần chủ động tìm hiểu mình có thuộc diện được trợ giúp pháp lý hay không và liên hệ Trung tâm trợ giúp pháp lý nhà nước hoặc tổ chức tham gia trợ giúp pháp lý để được hướng dẫn.</w:t>
      </w:r>
    </w:p>
    <w:p>
      <w:pPr>
        <w:spacing w:before="120" w:after="120" w:line="240" w:lineRule="auto"/>
        <w:ind w:firstLine="720"/>
        <w:jc w:val="both"/>
        <w:rPr>
          <w:rFonts w:asciiTheme="majorHAnsi" w:hAnsiTheme="majorHAnsi" w:cstheme="majorHAnsi"/>
          <w:szCs w:val="28"/>
        </w:rPr>
      </w:pPr>
      <w:r>
        <w:rPr>
          <w:rFonts w:asciiTheme="majorHAnsi" w:hAnsiTheme="majorHAnsi" w:cstheme="majorHAnsi"/>
          <w:szCs w:val="28"/>
        </w:rPr>
        <w:t xml:space="preserve">- Người yêu cầu </w:t>
      </w:r>
      <w:r>
        <w:rPr>
          <w:rFonts w:asciiTheme="majorHAnsi" w:hAnsiTheme="majorHAnsi" w:cstheme="majorHAnsi"/>
          <w:bCs/>
          <w:szCs w:val="28"/>
          <w:shd w:val="clear" w:color="auto" w:fill="FFFFFF"/>
          <w:lang w:val="vi-VN"/>
        </w:rPr>
        <w:t xml:space="preserve">TGPL </w:t>
      </w:r>
      <w:r>
        <w:rPr>
          <w:rFonts w:asciiTheme="majorHAnsi" w:hAnsiTheme="majorHAnsi" w:cstheme="majorHAnsi"/>
          <w:szCs w:val="28"/>
        </w:rPr>
        <w:t>cần cung cấp thông tin, tài liệu liên quan đến vụ việc đầy đủ, trung thực để việc tiếp nhận, xác minh và thực hiện trợ giúp pháp lý được kịp thời, hiệu quả.</w:t>
      </w:r>
    </w:p>
    <w:p>
      <w:pPr>
        <w:spacing w:before="120" w:after="120" w:line="240" w:lineRule="auto"/>
        <w:ind w:firstLine="720"/>
        <w:jc w:val="both"/>
        <w:rPr>
          <w:rFonts w:asciiTheme="majorHAnsi" w:hAnsiTheme="majorHAnsi" w:cstheme="majorHAnsi"/>
          <w:szCs w:val="28"/>
        </w:rPr>
      </w:pPr>
      <w:r>
        <w:rPr>
          <w:rFonts w:asciiTheme="majorHAnsi" w:hAnsiTheme="majorHAnsi" w:cstheme="majorHAnsi"/>
          <w:szCs w:val="28"/>
        </w:rPr>
        <w:t xml:space="preserve">- Trong quá trình làm việc với cơ quan nhà nước hoặc tham gia tố tụng, người dân thuộc diện được </w:t>
      </w:r>
      <w:r>
        <w:rPr>
          <w:rFonts w:asciiTheme="majorHAnsi" w:hAnsiTheme="majorHAnsi" w:cstheme="majorHAnsi"/>
          <w:bCs/>
          <w:szCs w:val="28"/>
          <w:shd w:val="clear" w:color="auto" w:fill="FFFFFF"/>
          <w:lang w:val="vi-VN"/>
        </w:rPr>
        <w:t xml:space="preserve">TGPL </w:t>
      </w:r>
      <w:r>
        <w:rPr>
          <w:rFonts w:asciiTheme="majorHAnsi" w:hAnsiTheme="majorHAnsi" w:cstheme="majorHAnsi"/>
          <w:szCs w:val="28"/>
        </w:rPr>
        <w:t>có quyền đề nghị được giải thích, hướng dẫn và kết nối với tổ chức thực hiện trợ giúp pháp lý theo quy định.</w:t>
      </w:r>
    </w:p>
    <w:p>
      <w:pPr>
        <w:spacing w:before="120" w:after="120" w:line="240" w:lineRule="auto"/>
        <w:ind w:firstLine="720"/>
        <w:jc w:val="both"/>
        <w:rPr>
          <w:rFonts w:asciiTheme="majorHAnsi" w:hAnsiTheme="majorHAnsi" w:cstheme="majorHAnsi"/>
          <w:szCs w:val="28"/>
        </w:rPr>
      </w:pPr>
      <w:r>
        <w:rPr>
          <w:rFonts w:asciiTheme="majorHAnsi" w:hAnsiTheme="majorHAnsi" w:cstheme="majorHAnsi"/>
          <w:szCs w:val="28"/>
        </w:rPr>
        <w:t xml:space="preserve">- Người dân nên theo dõi thông tin chính thức về tổ chức, người thực hiện </w:t>
      </w:r>
      <w:r>
        <w:rPr>
          <w:rFonts w:asciiTheme="majorHAnsi" w:hAnsiTheme="majorHAnsi" w:cstheme="majorHAnsi"/>
          <w:bCs/>
          <w:szCs w:val="28"/>
          <w:shd w:val="clear" w:color="auto" w:fill="FFFFFF"/>
          <w:lang w:val="vi-VN"/>
        </w:rPr>
        <w:t>TGPL</w:t>
      </w:r>
      <w:r>
        <w:rPr>
          <w:rFonts w:asciiTheme="majorHAnsi" w:hAnsiTheme="majorHAnsi" w:cstheme="majorHAnsi"/>
          <w:szCs w:val="28"/>
        </w:rPr>
        <w:t xml:space="preserve"> và hướng dẫn thực hiện trên Cổng Pháp luật quốc gia, cổng thông tin điện tử của cơ quan tư pháp và các kênh thông tin chính thống của địa phương.</w:t>
      </w:r>
    </w:p>
    <w:p>
      <w:pPr>
        <w:pStyle w:val="Heading2"/>
        <w:spacing w:before="120" w:after="120"/>
        <w:ind w:firstLine="720"/>
        <w:jc w:val="both"/>
        <w:rPr>
          <w:rFonts w:asciiTheme="majorHAnsi" w:hAnsiTheme="majorHAnsi" w:cstheme="majorHAnsi"/>
          <w:i w:val="0"/>
        </w:rPr>
      </w:pPr>
      <w:r>
        <w:rPr>
          <w:rFonts w:asciiTheme="majorHAnsi" w:hAnsiTheme="majorHAnsi" w:cstheme="majorHAnsi"/>
          <w:i w:val="0"/>
        </w:rPr>
        <w:t xml:space="preserve">III. MỘT SỐ </w:t>
      </w:r>
      <w:r>
        <w:rPr>
          <w:rFonts w:asciiTheme="majorHAnsi" w:hAnsiTheme="majorHAnsi" w:cstheme="majorHAnsi"/>
          <w:i w:val="0"/>
          <w:lang w:val="en-US"/>
        </w:rPr>
        <w:t xml:space="preserve">NỘI DUNG </w:t>
      </w:r>
      <w:r>
        <w:rPr>
          <w:rFonts w:asciiTheme="majorHAnsi" w:hAnsiTheme="majorHAnsi" w:cstheme="majorHAnsi"/>
          <w:i w:val="0"/>
        </w:rPr>
        <w:t>TRỌNG TÂM PHỔ BIẾN, TRIỂN KHAI TẠI TỈNH ĐIỆN BIÊN</w:t>
      </w:r>
    </w:p>
    <w:p>
      <w:pPr>
        <w:spacing w:before="120" w:after="120" w:line="240" w:lineRule="auto"/>
        <w:ind w:firstLine="720"/>
        <w:jc w:val="both"/>
        <w:rPr>
          <w:rFonts w:asciiTheme="majorHAnsi" w:hAnsiTheme="majorHAnsi" w:cstheme="majorHAnsi"/>
          <w:szCs w:val="28"/>
        </w:rPr>
      </w:pPr>
      <w:r>
        <w:rPr>
          <w:rFonts w:asciiTheme="majorHAnsi" w:hAnsiTheme="majorHAnsi" w:cstheme="majorHAnsi"/>
          <w:b/>
          <w:szCs w:val="28"/>
        </w:rPr>
        <w:t>1.</w:t>
      </w:r>
      <w:r>
        <w:rPr>
          <w:rFonts w:asciiTheme="majorHAnsi" w:hAnsiTheme="majorHAnsi" w:cstheme="majorHAnsi"/>
          <w:szCs w:val="28"/>
        </w:rPr>
        <w:t xml:space="preserve"> Ưu tiên tuyên truyền rõ 14 nhóm người được </w:t>
      </w:r>
      <w:r>
        <w:rPr>
          <w:rFonts w:asciiTheme="majorHAnsi" w:hAnsiTheme="majorHAnsi" w:cstheme="majorHAnsi"/>
          <w:bCs/>
          <w:szCs w:val="28"/>
          <w:shd w:val="clear" w:color="auto" w:fill="FFFFFF"/>
          <w:lang w:val="vi-VN"/>
        </w:rPr>
        <w:t>TGPL</w:t>
      </w:r>
      <w:r>
        <w:rPr>
          <w:rFonts w:asciiTheme="majorHAnsi" w:hAnsiTheme="majorHAnsi" w:cstheme="majorHAnsi"/>
          <w:szCs w:val="28"/>
        </w:rPr>
        <w:t xml:space="preserve">, nhất là các nhóm thường gặp trong thực tiễn cơ sở như người thuộc hộ nghèo, cận nghèo; người dân tộc thiểu số cư trú tại vùng có điều kiện kinh tế - xã hội đặc biệt khó khăn; người dân tộc thiểu số rất ít người; trẻ em; người khuyết tật; người cao tuổi thuộc </w:t>
      </w:r>
      <w:r>
        <w:rPr>
          <w:rFonts w:asciiTheme="majorHAnsi" w:hAnsiTheme="majorHAnsi" w:cstheme="majorHAnsi"/>
          <w:szCs w:val="28"/>
        </w:rPr>
        <w:lastRenderedPageBreak/>
        <w:t>diện hưởng trợ cấp xã hội hằng tháng; người bị bạo lực gia đình và người lao động có thu nhập thấp trong trường hợp luật định.</w:t>
      </w:r>
    </w:p>
    <w:p>
      <w:pPr>
        <w:spacing w:before="120" w:after="120" w:line="240" w:lineRule="auto"/>
        <w:ind w:firstLine="720"/>
        <w:jc w:val="both"/>
        <w:rPr>
          <w:rFonts w:asciiTheme="majorHAnsi" w:hAnsiTheme="majorHAnsi" w:cstheme="majorHAnsi"/>
          <w:szCs w:val="28"/>
        </w:rPr>
      </w:pPr>
      <w:r>
        <w:rPr>
          <w:rFonts w:asciiTheme="majorHAnsi" w:hAnsiTheme="majorHAnsi" w:cstheme="majorHAnsi"/>
          <w:b/>
          <w:szCs w:val="28"/>
        </w:rPr>
        <w:t>2.</w:t>
      </w:r>
      <w:r>
        <w:rPr>
          <w:rFonts w:asciiTheme="majorHAnsi" w:hAnsiTheme="majorHAnsi" w:cstheme="majorHAnsi"/>
          <w:szCs w:val="28"/>
        </w:rPr>
        <w:t xml:space="preserve">  Làm rõ </w:t>
      </w:r>
      <w:r>
        <w:rPr>
          <w:rFonts w:asciiTheme="majorHAnsi" w:hAnsiTheme="majorHAnsi" w:cstheme="majorHAnsi"/>
          <w:bCs/>
          <w:szCs w:val="28"/>
          <w:shd w:val="clear" w:color="auto" w:fill="FFFFFF"/>
          <w:lang w:val="vi-VN"/>
        </w:rPr>
        <w:t>TGPL</w:t>
      </w:r>
      <w:r>
        <w:rPr>
          <w:rFonts w:asciiTheme="majorHAnsi" w:hAnsiTheme="majorHAnsi" w:cstheme="majorHAnsi"/>
          <w:szCs w:val="28"/>
        </w:rPr>
        <w:t xml:space="preserve"> là miễn phí; hướng dẫn địa chỉ, đầu mối và cách thức liên hệ với Trung tâm trợ giúp pháp lý nhà nước; kết hợp truyền thông trực tiếp tại cơ sở với các kênh điện tử, bảo đảm người dân dễ tiếp cận.</w:t>
      </w:r>
    </w:p>
    <w:p>
      <w:pPr>
        <w:spacing w:before="120" w:after="120" w:line="240" w:lineRule="auto"/>
        <w:ind w:firstLine="720"/>
        <w:jc w:val="both"/>
        <w:rPr>
          <w:rFonts w:asciiTheme="majorHAnsi" w:hAnsiTheme="majorHAnsi" w:cstheme="majorHAnsi"/>
          <w:spacing w:val="-4"/>
          <w:szCs w:val="28"/>
        </w:rPr>
      </w:pPr>
      <w:r>
        <w:rPr>
          <w:rFonts w:asciiTheme="majorHAnsi" w:hAnsiTheme="majorHAnsi" w:cstheme="majorHAnsi"/>
          <w:b/>
          <w:spacing w:val="-4"/>
          <w:szCs w:val="28"/>
        </w:rPr>
        <w:t>3.</w:t>
      </w:r>
      <w:r>
        <w:rPr>
          <w:rFonts w:asciiTheme="majorHAnsi" w:hAnsiTheme="majorHAnsi" w:cstheme="majorHAnsi"/>
          <w:spacing w:val="-4"/>
          <w:szCs w:val="28"/>
        </w:rPr>
        <w:t xml:space="preserve"> Tăng cường phổ biến trách nhiệm của UBND cấp xã trong phối hợp triển khai trợ giúp pháp lý trên địa bàn; trách nhiệm của cơ quan nhà nước trong giải thích quyền và giới thiệu người thuộc diện được </w:t>
      </w:r>
      <w:r>
        <w:rPr>
          <w:rFonts w:asciiTheme="majorHAnsi" w:hAnsiTheme="majorHAnsi" w:cstheme="majorHAnsi"/>
          <w:bCs/>
          <w:spacing w:val="-4"/>
          <w:szCs w:val="28"/>
          <w:shd w:val="clear" w:color="auto" w:fill="FFFFFF"/>
          <w:lang w:val="vi-VN"/>
        </w:rPr>
        <w:t>TGPL</w:t>
      </w:r>
      <w:r>
        <w:rPr>
          <w:rFonts w:asciiTheme="majorHAnsi" w:hAnsiTheme="majorHAnsi" w:cstheme="majorHAnsi"/>
          <w:spacing w:val="-4"/>
          <w:szCs w:val="28"/>
        </w:rPr>
        <w:t xml:space="preserve"> đến tổ chức thực hiện </w:t>
      </w:r>
      <w:r>
        <w:rPr>
          <w:rFonts w:asciiTheme="majorHAnsi" w:hAnsiTheme="majorHAnsi" w:cstheme="majorHAnsi"/>
          <w:bCs/>
          <w:spacing w:val="-4"/>
          <w:szCs w:val="28"/>
          <w:shd w:val="clear" w:color="auto" w:fill="FFFFFF"/>
          <w:lang w:val="vi-VN"/>
        </w:rPr>
        <w:t>TGPL</w:t>
      </w:r>
      <w:r>
        <w:rPr>
          <w:rFonts w:asciiTheme="majorHAnsi" w:hAnsiTheme="majorHAnsi" w:cstheme="majorHAnsi"/>
          <w:spacing w:val="-4"/>
          <w:szCs w:val="28"/>
        </w:rPr>
        <w:t>.</w:t>
      </w:r>
    </w:p>
    <w:p>
      <w:pPr>
        <w:spacing w:before="120" w:after="120" w:line="240" w:lineRule="auto"/>
        <w:ind w:firstLine="720"/>
        <w:jc w:val="both"/>
        <w:rPr>
          <w:rFonts w:asciiTheme="majorHAnsi" w:hAnsiTheme="majorHAnsi" w:cstheme="majorHAnsi"/>
          <w:szCs w:val="28"/>
        </w:rPr>
      </w:pPr>
      <w:r>
        <w:rPr>
          <w:rFonts w:asciiTheme="majorHAnsi" w:hAnsiTheme="majorHAnsi" w:cstheme="majorHAnsi"/>
          <w:b/>
          <w:szCs w:val="28"/>
        </w:rPr>
        <w:t>4.</w:t>
      </w:r>
      <w:r>
        <w:rPr>
          <w:rFonts w:asciiTheme="majorHAnsi" w:hAnsiTheme="majorHAnsi" w:cstheme="majorHAnsi"/>
          <w:szCs w:val="28"/>
        </w:rPr>
        <w:t xml:space="preserve">  Đối với các cơ quan tiến hành tố tụng, chú trọng nội dung trực </w:t>
      </w:r>
      <w:r>
        <w:rPr>
          <w:rFonts w:asciiTheme="majorHAnsi" w:hAnsiTheme="majorHAnsi" w:cstheme="majorHAnsi"/>
          <w:bCs/>
          <w:szCs w:val="28"/>
          <w:shd w:val="clear" w:color="auto" w:fill="FFFFFF"/>
          <w:lang w:val="vi-VN"/>
        </w:rPr>
        <w:t>TGPL</w:t>
      </w:r>
      <w:r>
        <w:rPr>
          <w:rFonts w:asciiTheme="majorHAnsi" w:hAnsiTheme="majorHAnsi" w:cstheme="majorHAnsi"/>
          <w:szCs w:val="28"/>
        </w:rPr>
        <w:t xml:space="preserve"> tại Tòa án nhân dân, trong điều tra hình sự, cơ chế phối hợp liên ngành và yêu cầu không để bỏ sót người thuộc diện được </w:t>
      </w:r>
      <w:r>
        <w:rPr>
          <w:rFonts w:asciiTheme="majorHAnsi" w:hAnsiTheme="majorHAnsi" w:cstheme="majorHAnsi"/>
          <w:bCs/>
          <w:szCs w:val="28"/>
          <w:shd w:val="clear" w:color="auto" w:fill="FFFFFF"/>
          <w:lang w:val="vi-VN"/>
        </w:rPr>
        <w:t>TGPL</w:t>
      </w:r>
      <w:r>
        <w:rPr>
          <w:rFonts w:asciiTheme="majorHAnsi" w:hAnsiTheme="majorHAnsi" w:cstheme="majorHAnsi"/>
          <w:szCs w:val="28"/>
        </w:rPr>
        <w:t>.</w:t>
      </w:r>
    </w:p>
    <w:p>
      <w:pPr>
        <w:spacing w:before="120" w:after="120" w:line="240" w:lineRule="auto"/>
        <w:ind w:firstLine="720"/>
        <w:jc w:val="both"/>
        <w:rPr>
          <w:rFonts w:asciiTheme="majorHAnsi" w:hAnsiTheme="majorHAnsi" w:cstheme="majorHAnsi"/>
          <w:szCs w:val="28"/>
        </w:rPr>
      </w:pPr>
      <w:r>
        <w:rPr>
          <w:rFonts w:asciiTheme="majorHAnsi" w:hAnsiTheme="majorHAnsi" w:cstheme="majorHAnsi"/>
          <w:b/>
          <w:szCs w:val="28"/>
        </w:rPr>
        <w:t>5.</w:t>
      </w:r>
      <w:r>
        <w:rPr>
          <w:rFonts w:asciiTheme="majorHAnsi" w:hAnsiTheme="majorHAnsi" w:cstheme="majorHAnsi"/>
          <w:szCs w:val="28"/>
        </w:rPr>
        <w:t xml:space="preserve">  Đối với đội ngũ báo cáo viên, tuyên truyền viên, cần cập nhật các văn bản quy định chi tiết Luật khi được ban hành; sử dụng tình huống thực tế, câu hỏi - đáp, tờ gấp hoặc tài liệu song ngữ phù hợp từng nhóm người dân khi có điều kiện để nâng cao hiệu quả truyền thông.</w:t>
      </w:r>
    </w:p>
    <w:p>
      <w:pPr>
        <w:spacing w:before="120" w:after="120" w:line="240" w:lineRule="auto"/>
        <w:ind w:firstLine="720"/>
        <w:jc w:val="both"/>
        <w:rPr>
          <w:rFonts w:asciiTheme="majorHAnsi" w:hAnsiTheme="majorHAnsi" w:cstheme="majorHAnsi"/>
          <w:szCs w:val="28"/>
        </w:rPr>
      </w:pPr>
      <w:r>
        <w:rPr>
          <w:rFonts w:asciiTheme="majorHAnsi" w:hAnsiTheme="majorHAnsi" w:cstheme="majorHAnsi"/>
          <w:szCs w:val="28"/>
        </w:rPr>
        <w:t>Để bảo đảm Luật được triển khai thống nhất, có hiệu quả, các cơ quan có thẩm quyền cần xây dựng và tổ chức thực hiện kế hoạch triển khai thi hành; rà soát văn bản quy phạm pháp luật có liên quan để đề xuất sửa đổi, bổ sung, thay thế, bãi bỏ hoặc ban hành mới.</w:t>
      </w:r>
    </w:p>
    <w:p>
      <w:pPr>
        <w:spacing w:before="120" w:after="120" w:line="240" w:lineRule="auto"/>
        <w:ind w:firstLine="720"/>
        <w:jc w:val="both"/>
        <w:rPr>
          <w:rFonts w:asciiTheme="majorHAnsi" w:hAnsiTheme="majorHAnsi" w:cstheme="majorHAnsi"/>
          <w:szCs w:val="28"/>
        </w:rPr>
      </w:pPr>
      <w:r>
        <w:rPr>
          <w:rFonts w:asciiTheme="majorHAnsi" w:hAnsiTheme="majorHAnsi" w:cstheme="majorHAnsi"/>
          <w:szCs w:val="28"/>
        </w:rPr>
        <w:t xml:space="preserve">Công tác phổ biến, giáo dục pháp luật cần được thực hiện sớm, có trọng tâm, gắn với nhóm đối tượng thụ hưởng và đội ngũ trực tiếp tổ chức thực hiện. Nội dung truyền thông cần làm rõ quyền được </w:t>
      </w:r>
      <w:r>
        <w:rPr>
          <w:rFonts w:asciiTheme="majorHAnsi" w:hAnsiTheme="majorHAnsi" w:cstheme="majorHAnsi"/>
          <w:bCs/>
          <w:szCs w:val="28"/>
          <w:shd w:val="clear" w:color="auto" w:fill="FFFFFF"/>
          <w:lang w:val="vi-VN"/>
        </w:rPr>
        <w:t>TGPL</w:t>
      </w:r>
      <w:r>
        <w:rPr>
          <w:rFonts w:asciiTheme="majorHAnsi" w:hAnsiTheme="majorHAnsi" w:cstheme="majorHAnsi"/>
          <w:szCs w:val="28"/>
        </w:rPr>
        <w:t xml:space="preserve">, các trường hợp được trợ giúp, cách thức tiếp cận dịch vụ, trách nhiệm của chính quyền cấp xã, trách nhiệm của cơ quan tiến hành tố tụng và cơ chế phối hợp liên ngành. Trung tâm Trợ giúp pháp lý nhà nước và Đấu giá tài sản thuộc Sở Tư pháp và các cơ quan, đơn vị có liên quan cần chủ động phối hợp rà soát nhu cầu </w:t>
      </w:r>
      <w:r>
        <w:rPr>
          <w:rFonts w:asciiTheme="majorHAnsi" w:hAnsiTheme="majorHAnsi" w:cstheme="majorHAnsi"/>
          <w:bCs/>
          <w:szCs w:val="28"/>
          <w:shd w:val="clear" w:color="auto" w:fill="FFFFFF"/>
          <w:lang w:val="vi-VN"/>
        </w:rPr>
        <w:t xml:space="preserve">TGPL </w:t>
      </w:r>
      <w:r>
        <w:rPr>
          <w:rFonts w:asciiTheme="majorHAnsi" w:hAnsiTheme="majorHAnsi" w:cstheme="majorHAnsi"/>
          <w:szCs w:val="28"/>
        </w:rPr>
        <w:t xml:space="preserve">trên địa bàn, điều kiện tổ chức mạng lưới cung cấp dịch vụ, nguồn nhân lực và khả năng ứng dụng công </w:t>
      </w:r>
      <w:r>
        <w:rPr>
          <w:rFonts w:asciiTheme="majorHAnsi" w:hAnsiTheme="majorHAnsi" w:cstheme="majorHAnsi"/>
          <w:spacing w:val="-2"/>
          <w:szCs w:val="28"/>
        </w:rPr>
        <w:t xml:space="preserve">nghệ số; đồng thời bảo đảm các phương thức cung cấp thông tin phù hợp với người dân ở cơ sở, </w:t>
      </w:r>
      <w:r>
        <w:rPr>
          <w:rFonts w:asciiTheme="majorHAnsi" w:hAnsiTheme="majorHAnsi"/>
          <w:spacing w:val="-2"/>
        </w:rPr>
        <w:t>không để khoảng cách địa lý hoặc hạn chế về kỹ năng số cản trở người thuộc diện TGPL tiếp cận và thụ hưởng dịch vụ trên địa bàn tỉnh Điện Biên</w:t>
      </w:r>
      <w:r>
        <w:rPr>
          <w:rFonts w:asciiTheme="majorHAnsi" w:hAnsiTheme="majorHAnsi" w:cstheme="majorHAnsi"/>
          <w:spacing w:val="-2"/>
          <w:szCs w:val="28"/>
        </w:rPr>
        <w:t>./.</w:t>
      </w:r>
    </w:p>
    <w:p>
      <w:pPr>
        <w:spacing w:before="120" w:after="120" w:line="240" w:lineRule="auto"/>
        <w:ind w:firstLine="720"/>
        <w:jc w:val="both"/>
        <w:rPr>
          <w:rFonts w:asciiTheme="majorHAnsi" w:hAnsiTheme="majorHAnsi" w:cstheme="majorHAnsi"/>
          <w:szCs w:val="28"/>
        </w:rPr>
      </w:pPr>
    </w:p>
    <w:bookmarkEnd w:id="0"/>
    <w:p>
      <w:pPr>
        <w:spacing w:before="120" w:after="120" w:line="240" w:lineRule="auto"/>
        <w:jc w:val="both"/>
        <w:rPr>
          <w:rFonts w:asciiTheme="majorHAnsi" w:hAnsiTheme="majorHAnsi" w:cstheme="majorHAnsi"/>
          <w:szCs w:val="28"/>
        </w:rPr>
      </w:pPr>
    </w:p>
    <w:sectPr>
      <w:headerReference w:type="even" r:id="rId8"/>
      <w:headerReference w:type="default" r:id="rId9"/>
      <w:footerReference w:type="even" r:id="rId10"/>
      <w:footerReference w:type="default" r:id="rId11"/>
      <w:headerReference w:type="first" r:id="rId12"/>
      <w:footerReference w:type="first" r:id="rId13"/>
      <w:pgSz w:w="11906" w:h="16838" w:code="9"/>
      <w:pgMar w:top="1134" w:right="1134"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Noto Sans Symbols">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9108264"/>
      <w:docPartObj>
        <w:docPartGallery w:val="Page Numbers (Top of Page)"/>
        <w:docPartUnique/>
      </w:docPartObj>
    </w:sdtPr>
    <w:sdtEndPr>
      <w:rPr>
        <w:noProof/>
      </w:rPr>
    </w:sdtEndPr>
    <w:sdtContent>
      <w:p>
        <w:pPr>
          <w:pStyle w:val="Header"/>
          <w:jc w:val="center"/>
        </w:pPr>
        <w:r>
          <w:fldChar w:fldCharType="begin"/>
        </w:r>
        <w:r>
          <w:instrText xml:space="preserve"> PAGE   \* MERGEFORMAT </w:instrText>
        </w:r>
        <w:r>
          <w:fldChar w:fldCharType="separate"/>
        </w:r>
        <w:r>
          <w:rPr>
            <w:noProof/>
          </w:rPr>
          <w:t>14</w:t>
        </w:r>
        <w:r>
          <w:rPr>
            <w:noProof/>
          </w:rPr>
          <w:fldChar w:fldCharType="end"/>
        </w:r>
      </w:p>
    </w:sdtContent>
  </w:sdt>
  <w:p>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02676"/>
    <w:multiLevelType w:val="multilevel"/>
    <w:tmpl w:val="87E62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C90D61"/>
    <w:multiLevelType w:val="multilevel"/>
    <w:tmpl w:val="E9F85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BB2D9F"/>
    <w:multiLevelType w:val="multilevel"/>
    <w:tmpl w:val="DF428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E79302A"/>
    <w:multiLevelType w:val="multilevel"/>
    <w:tmpl w:val="0ED086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AF30CDB"/>
    <w:multiLevelType w:val="multilevel"/>
    <w:tmpl w:val="AF9EDF3E"/>
    <w:lvl w:ilvl="0">
      <w:numFmt w:val="bullet"/>
      <w:lvlText w:val="-"/>
      <w:lvlJc w:val="left"/>
      <w:pPr>
        <w:ind w:left="1440" w:hanging="360"/>
      </w:pPr>
      <w:rPr>
        <w:rFonts w:ascii="Aptos" w:eastAsia="Aptos" w:hAnsi="Aptos" w:cs="Apto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num w:numId="1">
    <w:abstractNumId w:val="1"/>
  </w:num>
  <w:num w:numId="2">
    <w:abstractNumId w:val="4"/>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1"/>
  <w:revisionView w:inkAnnotations="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A24563-42B8-4951-A64A-8F9C070D9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8"/>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hAnsi="Times New Roman"/>
      <w:lang w:val="en-GB"/>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pPr>
      <w:keepNext/>
      <w:spacing w:before="240" w:after="60" w:line="240" w:lineRule="auto"/>
      <w:outlineLvl w:val="1"/>
    </w:pPr>
    <w:rPr>
      <w:rFonts w:ascii="Calibri Light" w:eastAsia="Times New Roman" w:hAnsi="Calibri Light" w:cs="Times New Roman"/>
      <w:b/>
      <w:bCs/>
      <w:i/>
      <w:iCs/>
      <w:szCs w:val="28"/>
      <w:lang w:val="x-none" w:eastAsia="x-none"/>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Pr>
      <w:rFonts w:ascii="Calibri Light" w:eastAsia="Times New Roman" w:hAnsi="Calibri Light" w:cs="Times New Roman"/>
      <w:b/>
      <w:bCs/>
      <w:i/>
      <w:iCs/>
      <w:szCs w:val="28"/>
      <w:lang w:val="x-none" w:eastAsia="x-none"/>
    </w:rPr>
  </w:style>
  <w:style w:type="character" w:styleId="Strong">
    <w:name w:val="Strong"/>
    <w:basedOn w:val="DefaultParagraphFont"/>
    <w:uiPriority w:val="22"/>
    <w:qFormat/>
    <w:rPr>
      <w:b/>
      <w:bCs/>
    </w:rPr>
  </w:style>
  <w:style w:type="character" w:customStyle="1" w:styleId="vkekvd">
    <w:name w:val="vkekvd"/>
    <w:basedOn w:val="DefaultParagraphFont"/>
  </w:style>
  <w:style w:type="character" w:customStyle="1" w:styleId="t286pc">
    <w:name w:val="t286pc"/>
    <w:basedOn w:val="DefaultParagraphFont"/>
  </w:style>
  <w:style w:type="character" w:styleId="Hyperlink">
    <w:name w:val="Hyperlink"/>
    <w:basedOn w:val="DefaultParagraphFont"/>
    <w:uiPriority w:val="99"/>
    <w:semiHidden/>
    <w:unhideWhenUsed/>
    <w:rPr>
      <w:color w:val="0000FF"/>
      <w:u w:val="single"/>
    </w:rPr>
  </w:style>
  <w:style w:type="paragraph" w:styleId="ListParagraph">
    <w:name w:val="List Paragraph"/>
    <w:basedOn w:val="Normal"/>
    <w:uiPriority w:val="34"/>
    <w:qFormat/>
    <w:pPr>
      <w:ind w:left="720"/>
      <w:contextualSpacing/>
    </w:pPr>
  </w:style>
  <w:style w:type="paragraph" w:styleId="NormalWeb">
    <w:name w:val="Normal (Web)"/>
    <w:basedOn w:val="Normal"/>
    <w:uiPriority w:val="99"/>
    <w:unhideWhenUsed/>
    <w:pPr>
      <w:spacing w:before="100" w:beforeAutospacing="1" w:after="100" w:afterAutospacing="1" w:line="240" w:lineRule="auto"/>
    </w:pPr>
    <w:rPr>
      <w:rFonts w:eastAsia="Times New Roman" w:cs="Times New Roman"/>
      <w:sz w:val="24"/>
      <w:szCs w:val="24"/>
      <w:lang w:val="en-US"/>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Times New Roman" w:hAnsi="Times New Roman"/>
      <w:lang w:val="en-GB"/>
    </w:rPr>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Times New Roman" w:hAnsi="Times New Roman"/>
      <w:lang w:val="en-GB"/>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lang w:val="en-GB"/>
    </w:rPr>
  </w:style>
  <w:style w:type="character" w:styleId="FootnoteReference">
    <w:name w:val="footnote reference"/>
    <w:aliases w:val="Footnote text,Footnote,ftref,16 Point,Superscript 6 Point,Footnote symbol,Footnote reference number,note TESI,Ref,de nota al pie,Footnote text + 13 pt,Footnote Text1,Footnote Reference Numbering,Footnote + Arial,10 pt,Black,BVI fnr,fr"/>
    <w:link w:val="RefChar"/>
    <w:uiPriority w:val="99"/>
    <w:unhideWhenUsed/>
    <w:qFormat/>
    <w:rPr>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tref Char,Footnote Char,Footnote text Char,fr Char,16 Point Char"/>
    <w:basedOn w:val="Normal"/>
    <w:link w:val="FootnoteReference"/>
    <w:uiPriority w:val="99"/>
    <w:qFormat/>
    <w:pPr>
      <w:spacing w:line="240" w:lineRule="exact"/>
    </w:pPr>
    <w:rPr>
      <w:rFonts w:asciiTheme="minorHAnsi" w:hAnsiTheme="minorHAnsi"/>
      <w:vertAlign w:val="superscript"/>
      <w:lang w:val="vi-VN"/>
    </w:rPr>
  </w:style>
  <w:style w:type="character" w:styleId="Emphasis">
    <w:name w:val="Emphasis"/>
    <w:basedOn w:val="DefaultParagraphFont"/>
    <w:uiPriority w:val="20"/>
    <w:qFormat/>
    <w:rPr>
      <w:i/>
      <w:iCs/>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4D78" w:themeColor="accent1" w:themeShade="7F"/>
      <w:sz w:val="24"/>
      <w:szCs w:val="24"/>
      <w:lang w:val="en-GB"/>
    </w:rPr>
  </w:style>
  <w:style w:type="paragraph" w:customStyle="1" w:styleId="pdq2pgselectionanchorcontainer">
    <w:name w:val="pdq2pg_selectionanchorcontainer"/>
    <w:basedOn w:val="Normal"/>
    <w:pPr>
      <w:spacing w:before="100" w:beforeAutospacing="1" w:after="100" w:afterAutospacing="1" w:line="240" w:lineRule="auto"/>
    </w:pPr>
    <w:rPr>
      <w:rFonts w:eastAsia="Times New Roman" w:cs="Times New Roman"/>
      <w:sz w:val="24"/>
      <w:szCs w:val="24"/>
      <w:lang w:val="vi-VN" w:eastAsia="vi-VN"/>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n Char,ft Char,R Char"/>
    <w:link w:val="FootnoteText"/>
    <w:qFormat/>
    <w:locked/>
    <w:rPr>
      <w:lang w:val="x-none" w:eastAsia="x-none"/>
    </w:rPr>
  </w:style>
  <w:style w:type="paragraph" w:styleId="FootnoteText">
    <w:name w:val="footnote text"/>
    <w:aliases w:val="Footnote Text Char Char Char Char Char,Footnote Text Char Char Char Char Char Char Ch Char Char Char,Footnote Text Char Char Char Char Char Char Ch Char Char Char Char Char Char C,Footnote Text Char Char Char Char Char Char Ch Char,fn,ft,R"/>
    <w:basedOn w:val="Normal"/>
    <w:link w:val="FootnoteTextChar"/>
    <w:qFormat/>
    <w:pPr>
      <w:spacing w:after="0" w:line="240" w:lineRule="auto"/>
    </w:pPr>
    <w:rPr>
      <w:rFonts w:asciiTheme="minorHAnsi" w:hAnsiTheme="minorHAnsi"/>
      <w:lang w:val="x-none" w:eastAsia="x-none"/>
    </w:rPr>
  </w:style>
  <w:style w:type="character" w:customStyle="1" w:styleId="FootnoteTextChar1">
    <w:name w:val="Footnote Text Char1"/>
    <w:basedOn w:val="DefaultParagraphFont"/>
    <w:uiPriority w:val="99"/>
    <w:semiHidden/>
    <w:rPr>
      <w:rFonts w:ascii="Times New Roman" w:hAnsi="Times New Roman"/>
      <w:sz w:val="20"/>
      <w:szCs w:val="20"/>
      <w:lang w:val="en-GB"/>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
    <w:basedOn w:val="Normal"/>
    <w:qFormat/>
    <w:pPr>
      <w:spacing w:before="100" w:after="0" w:line="240" w:lineRule="exact"/>
    </w:pPr>
    <w:rPr>
      <w:rFonts w:eastAsia="Times New Roman" w:cs="Times New Roman"/>
      <w:sz w:val="20"/>
      <w:szCs w:val="20"/>
      <w:vertAlign w:val="superscript"/>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4971549">
      <w:bodyDiv w:val="1"/>
      <w:marLeft w:val="0"/>
      <w:marRight w:val="0"/>
      <w:marTop w:val="0"/>
      <w:marBottom w:val="0"/>
      <w:divBdr>
        <w:top w:val="none" w:sz="0" w:space="0" w:color="auto"/>
        <w:left w:val="none" w:sz="0" w:space="0" w:color="auto"/>
        <w:bottom w:val="none" w:sz="0" w:space="0" w:color="auto"/>
        <w:right w:val="none" w:sz="0" w:space="0" w:color="auto"/>
      </w:divBdr>
    </w:div>
    <w:div w:id="743913202">
      <w:bodyDiv w:val="1"/>
      <w:marLeft w:val="0"/>
      <w:marRight w:val="0"/>
      <w:marTop w:val="0"/>
      <w:marBottom w:val="0"/>
      <w:divBdr>
        <w:top w:val="none" w:sz="0" w:space="0" w:color="auto"/>
        <w:left w:val="none" w:sz="0" w:space="0" w:color="auto"/>
        <w:bottom w:val="none" w:sz="0" w:space="0" w:color="auto"/>
        <w:right w:val="none" w:sz="0" w:space="0" w:color="auto"/>
      </w:divBdr>
      <w:divsChild>
        <w:div w:id="237716113">
          <w:marLeft w:val="0"/>
          <w:marRight w:val="0"/>
          <w:marTop w:val="0"/>
          <w:marBottom w:val="0"/>
          <w:divBdr>
            <w:top w:val="none" w:sz="0" w:space="0" w:color="auto"/>
            <w:left w:val="none" w:sz="0" w:space="0" w:color="auto"/>
            <w:bottom w:val="none" w:sz="0" w:space="0" w:color="auto"/>
            <w:right w:val="none" w:sz="0" w:space="0" w:color="auto"/>
          </w:divBdr>
        </w:div>
        <w:div w:id="1160073935">
          <w:marLeft w:val="0"/>
          <w:marRight w:val="0"/>
          <w:marTop w:val="0"/>
          <w:marBottom w:val="0"/>
          <w:divBdr>
            <w:top w:val="none" w:sz="0" w:space="0" w:color="auto"/>
            <w:left w:val="none" w:sz="0" w:space="0" w:color="auto"/>
            <w:bottom w:val="none" w:sz="0" w:space="0" w:color="auto"/>
            <w:right w:val="none" w:sz="0" w:space="0" w:color="auto"/>
          </w:divBdr>
        </w:div>
        <w:div w:id="24528365">
          <w:marLeft w:val="0"/>
          <w:marRight w:val="0"/>
          <w:marTop w:val="0"/>
          <w:marBottom w:val="0"/>
          <w:divBdr>
            <w:top w:val="none" w:sz="0" w:space="0" w:color="auto"/>
            <w:left w:val="none" w:sz="0" w:space="0" w:color="auto"/>
            <w:bottom w:val="none" w:sz="0" w:space="0" w:color="auto"/>
            <w:right w:val="none" w:sz="0" w:space="0" w:color="auto"/>
          </w:divBdr>
        </w:div>
        <w:div w:id="552666994">
          <w:marLeft w:val="0"/>
          <w:marRight w:val="0"/>
          <w:marTop w:val="0"/>
          <w:marBottom w:val="0"/>
          <w:divBdr>
            <w:top w:val="none" w:sz="0" w:space="0" w:color="auto"/>
            <w:left w:val="none" w:sz="0" w:space="0" w:color="auto"/>
            <w:bottom w:val="none" w:sz="0" w:space="0" w:color="auto"/>
            <w:right w:val="none" w:sz="0" w:space="0" w:color="auto"/>
          </w:divBdr>
        </w:div>
        <w:div w:id="900990173">
          <w:marLeft w:val="0"/>
          <w:marRight w:val="0"/>
          <w:marTop w:val="0"/>
          <w:marBottom w:val="0"/>
          <w:divBdr>
            <w:top w:val="none" w:sz="0" w:space="0" w:color="auto"/>
            <w:left w:val="none" w:sz="0" w:space="0" w:color="auto"/>
            <w:bottom w:val="none" w:sz="0" w:space="0" w:color="auto"/>
            <w:right w:val="none" w:sz="0" w:space="0" w:color="auto"/>
          </w:divBdr>
        </w:div>
        <w:div w:id="405029140">
          <w:marLeft w:val="0"/>
          <w:marRight w:val="0"/>
          <w:marTop w:val="0"/>
          <w:marBottom w:val="0"/>
          <w:divBdr>
            <w:top w:val="none" w:sz="0" w:space="0" w:color="auto"/>
            <w:left w:val="none" w:sz="0" w:space="0" w:color="auto"/>
            <w:bottom w:val="none" w:sz="0" w:space="0" w:color="auto"/>
            <w:right w:val="none" w:sz="0" w:space="0" w:color="auto"/>
          </w:divBdr>
        </w:div>
        <w:div w:id="1144154896">
          <w:marLeft w:val="0"/>
          <w:marRight w:val="0"/>
          <w:marTop w:val="0"/>
          <w:marBottom w:val="0"/>
          <w:divBdr>
            <w:top w:val="none" w:sz="0" w:space="0" w:color="auto"/>
            <w:left w:val="none" w:sz="0" w:space="0" w:color="auto"/>
            <w:bottom w:val="none" w:sz="0" w:space="0" w:color="auto"/>
            <w:right w:val="none" w:sz="0" w:space="0" w:color="auto"/>
          </w:divBdr>
        </w:div>
        <w:div w:id="1793865131">
          <w:marLeft w:val="0"/>
          <w:marRight w:val="0"/>
          <w:marTop w:val="0"/>
          <w:marBottom w:val="0"/>
          <w:divBdr>
            <w:top w:val="none" w:sz="0" w:space="0" w:color="auto"/>
            <w:left w:val="none" w:sz="0" w:space="0" w:color="auto"/>
            <w:bottom w:val="none" w:sz="0" w:space="0" w:color="auto"/>
            <w:right w:val="none" w:sz="0" w:space="0" w:color="auto"/>
          </w:divBdr>
        </w:div>
        <w:div w:id="2112775032">
          <w:marLeft w:val="0"/>
          <w:marRight w:val="0"/>
          <w:marTop w:val="0"/>
          <w:marBottom w:val="0"/>
          <w:divBdr>
            <w:top w:val="none" w:sz="0" w:space="0" w:color="auto"/>
            <w:left w:val="none" w:sz="0" w:space="0" w:color="auto"/>
            <w:bottom w:val="none" w:sz="0" w:space="0" w:color="auto"/>
            <w:right w:val="none" w:sz="0" w:space="0" w:color="auto"/>
          </w:divBdr>
        </w:div>
        <w:div w:id="571474246">
          <w:marLeft w:val="0"/>
          <w:marRight w:val="0"/>
          <w:marTop w:val="0"/>
          <w:marBottom w:val="0"/>
          <w:divBdr>
            <w:top w:val="none" w:sz="0" w:space="0" w:color="auto"/>
            <w:left w:val="none" w:sz="0" w:space="0" w:color="auto"/>
            <w:bottom w:val="none" w:sz="0" w:space="0" w:color="auto"/>
            <w:right w:val="none" w:sz="0" w:space="0" w:color="auto"/>
          </w:divBdr>
        </w:div>
        <w:div w:id="1718167182">
          <w:marLeft w:val="0"/>
          <w:marRight w:val="0"/>
          <w:marTop w:val="0"/>
          <w:marBottom w:val="0"/>
          <w:divBdr>
            <w:top w:val="none" w:sz="0" w:space="0" w:color="auto"/>
            <w:left w:val="none" w:sz="0" w:space="0" w:color="auto"/>
            <w:bottom w:val="none" w:sz="0" w:space="0" w:color="auto"/>
            <w:right w:val="none" w:sz="0" w:space="0" w:color="auto"/>
          </w:divBdr>
        </w:div>
        <w:div w:id="695154092">
          <w:marLeft w:val="0"/>
          <w:marRight w:val="0"/>
          <w:marTop w:val="0"/>
          <w:marBottom w:val="0"/>
          <w:divBdr>
            <w:top w:val="none" w:sz="0" w:space="0" w:color="auto"/>
            <w:left w:val="none" w:sz="0" w:space="0" w:color="auto"/>
            <w:bottom w:val="none" w:sz="0" w:space="0" w:color="auto"/>
            <w:right w:val="none" w:sz="0" w:space="0" w:color="auto"/>
          </w:divBdr>
        </w:div>
        <w:div w:id="807893400">
          <w:marLeft w:val="0"/>
          <w:marRight w:val="0"/>
          <w:marTop w:val="0"/>
          <w:marBottom w:val="0"/>
          <w:divBdr>
            <w:top w:val="none" w:sz="0" w:space="0" w:color="auto"/>
            <w:left w:val="none" w:sz="0" w:space="0" w:color="auto"/>
            <w:bottom w:val="none" w:sz="0" w:space="0" w:color="auto"/>
            <w:right w:val="none" w:sz="0" w:space="0" w:color="auto"/>
          </w:divBdr>
        </w:div>
        <w:div w:id="1728914675">
          <w:marLeft w:val="0"/>
          <w:marRight w:val="0"/>
          <w:marTop w:val="0"/>
          <w:marBottom w:val="0"/>
          <w:divBdr>
            <w:top w:val="none" w:sz="0" w:space="0" w:color="auto"/>
            <w:left w:val="none" w:sz="0" w:space="0" w:color="auto"/>
            <w:bottom w:val="none" w:sz="0" w:space="0" w:color="auto"/>
            <w:right w:val="none" w:sz="0" w:space="0" w:color="auto"/>
          </w:divBdr>
        </w:div>
        <w:div w:id="411588029">
          <w:marLeft w:val="0"/>
          <w:marRight w:val="0"/>
          <w:marTop w:val="0"/>
          <w:marBottom w:val="0"/>
          <w:divBdr>
            <w:top w:val="none" w:sz="0" w:space="0" w:color="auto"/>
            <w:left w:val="none" w:sz="0" w:space="0" w:color="auto"/>
            <w:bottom w:val="none" w:sz="0" w:space="0" w:color="auto"/>
            <w:right w:val="none" w:sz="0" w:space="0" w:color="auto"/>
          </w:divBdr>
        </w:div>
        <w:div w:id="1541622993">
          <w:marLeft w:val="0"/>
          <w:marRight w:val="0"/>
          <w:marTop w:val="0"/>
          <w:marBottom w:val="0"/>
          <w:divBdr>
            <w:top w:val="none" w:sz="0" w:space="0" w:color="auto"/>
            <w:left w:val="none" w:sz="0" w:space="0" w:color="auto"/>
            <w:bottom w:val="none" w:sz="0" w:space="0" w:color="auto"/>
            <w:right w:val="none" w:sz="0" w:space="0" w:color="auto"/>
          </w:divBdr>
        </w:div>
        <w:div w:id="370957694">
          <w:marLeft w:val="0"/>
          <w:marRight w:val="0"/>
          <w:marTop w:val="0"/>
          <w:marBottom w:val="0"/>
          <w:divBdr>
            <w:top w:val="none" w:sz="0" w:space="0" w:color="auto"/>
            <w:left w:val="none" w:sz="0" w:space="0" w:color="auto"/>
            <w:bottom w:val="none" w:sz="0" w:space="0" w:color="auto"/>
            <w:right w:val="none" w:sz="0" w:space="0" w:color="auto"/>
          </w:divBdr>
        </w:div>
        <w:div w:id="1570186269">
          <w:marLeft w:val="0"/>
          <w:marRight w:val="0"/>
          <w:marTop w:val="0"/>
          <w:marBottom w:val="0"/>
          <w:divBdr>
            <w:top w:val="none" w:sz="0" w:space="0" w:color="auto"/>
            <w:left w:val="none" w:sz="0" w:space="0" w:color="auto"/>
            <w:bottom w:val="none" w:sz="0" w:space="0" w:color="auto"/>
            <w:right w:val="none" w:sz="0" w:space="0" w:color="auto"/>
          </w:divBdr>
        </w:div>
        <w:div w:id="2035500134">
          <w:marLeft w:val="0"/>
          <w:marRight w:val="0"/>
          <w:marTop w:val="0"/>
          <w:marBottom w:val="0"/>
          <w:divBdr>
            <w:top w:val="none" w:sz="0" w:space="0" w:color="auto"/>
            <w:left w:val="none" w:sz="0" w:space="0" w:color="auto"/>
            <w:bottom w:val="none" w:sz="0" w:space="0" w:color="auto"/>
            <w:right w:val="none" w:sz="0" w:space="0" w:color="auto"/>
          </w:divBdr>
        </w:div>
        <w:div w:id="583687965">
          <w:marLeft w:val="0"/>
          <w:marRight w:val="0"/>
          <w:marTop w:val="0"/>
          <w:marBottom w:val="0"/>
          <w:divBdr>
            <w:top w:val="none" w:sz="0" w:space="0" w:color="auto"/>
            <w:left w:val="none" w:sz="0" w:space="0" w:color="auto"/>
            <w:bottom w:val="none" w:sz="0" w:space="0" w:color="auto"/>
            <w:right w:val="none" w:sz="0" w:space="0" w:color="auto"/>
          </w:divBdr>
        </w:div>
        <w:div w:id="2063751094">
          <w:marLeft w:val="0"/>
          <w:marRight w:val="0"/>
          <w:marTop w:val="0"/>
          <w:marBottom w:val="0"/>
          <w:divBdr>
            <w:top w:val="none" w:sz="0" w:space="0" w:color="auto"/>
            <w:left w:val="none" w:sz="0" w:space="0" w:color="auto"/>
            <w:bottom w:val="none" w:sz="0" w:space="0" w:color="auto"/>
            <w:right w:val="none" w:sz="0" w:space="0" w:color="auto"/>
          </w:divBdr>
        </w:div>
        <w:div w:id="170417582">
          <w:marLeft w:val="0"/>
          <w:marRight w:val="0"/>
          <w:marTop w:val="0"/>
          <w:marBottom w:val="0"/>
          <w:divBdr>
            <w:top w:val="none" w:sz="0" w:space="0" w:color="auto"/>
            <w:left w:val="none" w:sz="0" w:space="0" w:color="auto"/>
            <w:bottom w:val="none" w:sz="0" w:space="0" w:color="auto"/>
            <w:right w:val="none" w:sz="0" w:space="0" w:color="auto"/>
          </w:divBdr>
        </w:div>
        <w:div w:id="39747415">
          <w:marLeft w:val="0"/>
          <w:marRight w:val="0"/>
          <w:marTop w:val="0"/>
          <w:marBottom w:val="0"/>
          <w:divBdr>
            <w:top w:val="none" w:sz="0" w:space="0" w:color="auto"/>
            <w:left w:val="none" w:sz="0" w:space="0" w:color="auto"/>
            <w:bottom w:val="none" w:sz="0" w:space="0" w:color="auto"/>
            <w:right w:val="none" w:sz="0" w:space="0" w:color="auto"/>
          </w:divBdr>
        </w:div>
        <w:div w:id="1493059779">
          <w:marLeft w:val="0"/>
          <w:marRight w:val="0"/>
          <w:marTop w:val="0"/>
          <w:marBottom w:val="0"/>
          <w:divBdr>
            <w:top w:val="none" w:sz="0" w:space="0" w:color="auto"/>
            <w:left w:val="none" w:sz="0" w:space="0" w:color="auto"/>
            <w:bottom w:val="none" w:sz="0" w:space="0" w:color="auto"/>
            <w:right w:val="none" w:sz="0" w:space="0" w:color="auto"/>
          </w:divBdr>
        </w:div>
        <w:div w:id="285740310">
          <w:marLeft w:val="0"/>
          <w:marRight w:val="0"/>
          <w:marTop w:val="0"/>
          <w:marBottom w:val="0"/>
          <w:divBdr>
            <w:top w:val="none" w:sz="0" w:space="0" w:color="auto"/>
            <w:left w:val="none" w:sz="0" w:space="0" w:color="auto"/>
            <w:bottom w:val="none" w:sz="0" w:space="0" w:color="auto"/>
            <w:right w:val="none" w:sz="0" w:space="0" w:color="auto"/>
          </w:divBdr>
        </w:div>
        <w:div w:id="592665094">
          <w:marLeft w:val="0"/>
          <w:marRight w:val="0"/>
          <w:marTop w:val="0"/>
          <w:marBottom w:val="0"/>
          <w:divBdr>
            <w:top w:val="none" w:sz="0" w:space="0" w:color="auto"/>
            <w:left w:val="none" w:sz="0" w:space="0" w:color="auto"/>
            <w:bottom w:val="none" w:sz="0" w:space="0" w:color="auto"/>
            <w:right w:val="none" w:sz="0" w:space="0" w:color="auto"/>
          </w:divBdr>
        </w:div>
        <w:div w:id="750126320">
          <w:marLeft w:val="0"/>
          <w:marRight w:val="0"/>
          <w:marTop w:val="0"/>
          <w:marBottom w:val="0"/>
          <w:divBdr>
            <w:top w:val="none" w:sz="0" w:space="0" w:color="auto"/>
            <w:left w:val="none" w:sz="0" w:space="0" w:color="auto"/>
            <w:bottom w:val="none" w:sz="0" w:space="0" w:color="auto"/>
            <w:right w:val="none" w:sz="0" w:space="0" w:color="auto"/>
          </w:divBdr>
        </w:div>
        <w:div w:id="1856188611">
          <w:marLeft w:val="0"/>
          <w:marRight w:val="0"/>
          <w:marTop w:val="0"/>
          <w:marBottom w:val="0"/>
          <w:divBdr>
            <w:top w:val="none" w:sz="0" w:space="0" w:color="auto"/>
            <w:left w:val="none" w:sz="0" w:space="0" w:color="auto"/>
            <w:bottom w:val="none" w:sz="0" w:space="0" w:color="auto"/>
            <w:right w:val="none" w:sz="0" w:space="0" w:color="auto"/>
          </w:divBdr>
        </w:div>
        <w:div w:id="772045330">
          <w:marLeft w:val="0"/>
          <w:marRight w:val="0"/>
          <w:marTop w:val="0"/>
          <w:marBottom w:val="0"/>
          <w:divBdr>
            <w:top w:val="none" w:sz="0" w:space="0" w:color="auto"/>
            <w:left w:val="none" w:sz="0" w:space="0" w:color="auto"/>
            <w:bottom w:val="none" w:sz="0" w:space="0" w:color="auto"/>
            <w:right w:val="none" w:sz="0" w:space="0" w:color="auto"/>
          </w:divBdr>
        </w:div>
        <w:div w:id="1003780674">
          <w:marLeft w:val="0"/>
          <w:marRight w:val="0"/>
          <w:marTop w:val="0"/>
          <w:marBottom w:val="0"/>
          <w:divBdr>
            <w:top w:val="none" w:sz="0" w:space="0" w:color="auto"/>
            <w:left w:val="none" w:sz="0" w:space="0" w:color="auto"/>
            <w:bottom w:val="none" w:sz="0" w:space="0" w:color="auto"/>
            <w:right w:val="none" w:sz="0" w:space="0" w:color="auto"/>
          </w:divBdr>
        </w:div>
        <w:div w:id="1648852852">
          <w:marLeft w:val="0"/>
          <w:marRight w:val="0"/>
          <w:marTop w:val="0"/>
          <w:marBottom w:val="0"/>
          <w:divBdr>
            <w:top w:val="none" w:sz="0" w:space="0" w:color="auto"/>
            <w:left w:val="none" w:sz="0" w:space="0" w:color="auto"/>
            <w:bottom w:val="none" w:sz="0" w:space="0" w:color="auto"/>
            <w:right w:val="none" w:sz="0" w:space="0" w:color="auto"/>
          </w:divBdr>
        </w:div>
        <w:div w:id="543951733">
          <w:marLeft w:val="0"/>
          <w:marRight w:val="0"/>
          <w:marTop w:val="0"/>
          <w:marBottom w:val="0"/>
          <w:divBdr>
            <w:top w:val="none" w:sz="0" w:space="0" w:color="auto"/>
            <w:left w:val="none" w:sz="0" w:space="0" w:color="auto"/>
            <w:bottom w:val="none" w:sz="0" w:space="0" w:color="auto"/>
            <w:right w:val="none" w:sz="0" w:space="0" w:color="auto"/>
          </w:divBdr>
        </w:div>
        <w:div w:id="523254310">
          <w:marLeft w:val="0"/>
          <w:marRight w:val="0"/>
          <w:marTop w:val="0"/>
          <w:marBottom w:val="0"/>
          <w:divBdr>
            <w:top w:val="none" w:sz="0" w:space="0" w:color="auto"/>
            <w:left w:val="none" w:sz="0" w:space="0" w:color="auto"/>
            <w:bottom w:val="none" w:sz="0" w:space="0" w:color="auto"/>
            <w:right w:val="none" w:sz="0" w:space="0" w:color="auto"/>
          </w:divBdr>
        </w:div>
        <w:div w:id="1351026970">
          <w:marLeft w:val="0"/>
          <w:marRight w:val="0"/>
          <w:marTop w:val="0"/>
          <w:marBottom w:val="0"/>
          <w:divBdr>
            <w:top w:val="none" w:sz="0" w:space="0" w:color="auto"/>
            <w:left w:val="none" w:sz="0" w:space="0" w:color="auto"/>
            <w:bottom w:val="none" w:sz="0" w:space="0" w:color="auto"/>
            <w:right w:val="none" w:sz="0" w:space="0" w:color="auto"/>
          </w:divBdr>
        </w:div>
        <w:div w:id="1078140441">
          <w:marLeft w:val="0"/>
          <w:marRight w:val="0"/>
          <w:marTop w:val="0"/>
          <w:marBottom w:val="0"/>
          <w:divBdr>
            <w:top w:val="none" w:sz="0" w:space="0" w:color="auto"/>
            <w:left w:val="none" w:sz="0" w:space="0" w:color="auto"/>
            <w:bottom w:val="none" w:sz="0" w:space="0" w:color="auto"/>
            <w:right w:val="none" w:sz="0" w:space="0" w:color="auto"/>
          </w:divBdr>
        </w:div>
        <w:div w:id="767237415">
          <w:marLeft w:val="0"/>
          <w:marRight w:val="0"/>
          <w:marTop w:val="0"/>
          <w:marBottom w:val="0"/>
          <w:divBdr>
            <w:top w:val="none" w:sz="0" w:space="0" w:color="auto"/>
            <w:left w:val="none" w:sz="0" w:space="0" w:color="auto"/>
            <w:bottom w:val="none" w:sz="0" w:space="0" w:color="auto"/>
            <w:right w:val="none" w:sz="0" w:space="0" w:color="auto"/>
          </w:divBdr>
        </w:div>
        <w:div w:id="1806972267">
          <w:marLeft w:val="0"/>
          <w:marRight w:val="0"/>
          <w:marTop w:val="0"/>
          <w:marBottom w:val="0"/>
          <w:divBdr>
            <w:top w:val="none" w:sz="0" w:space="0" w:color="auto"/>
            <w:left w:val="none" w:sz="0" w:space="0" w:color="auto"/>
            <w:bottom w:val="none" w:sz="0" w:space="0" w:color="auto"/>
            <w:right w:val="none" w:sz="0" w:space="0" w:color="auto"/>
          </w:divBdr>
        </w:div>
        <w:div w:id="1871839705">
          <w:marLeft w:val="0"/>
          <w:marRight w:val="0"/>
          <w:marTop w:val="0"/>
          <w:marBottom w:val="0"/>
          <w:divBdr>
            <w:top w:val="none" w:sz="0" w:space="0" w:color="auto"/>
            <w:left w:val="none" w:sz="0" w:space="0" w:color="auto"/>
            <w:bottom w:val="none" w:sz="0" w:space="0" w:color="auto"/>
            <w:right w:val="none" w:sz="0" w:space="0" w:color="auto"/>
          </w:divBdr>
        </w:div>
        <w:div w:id="1461919507">
          <w:marLeft w:val="0"/>
          <w:marRight w:val="0"/>
          <w:marTop w:val="0"/>
          <w:marBottom w:val="0"/>
          <w:divBdr>
            <w:top w:val="none" w:sz="0" w:space="0" w:color="auto"/>
            <w:left w:val="none" w:sz="0" w:space="0" w:color="auto"/>
            <w:bottom w:val="none" w:sz="0" w:space="0" w:color="auto"/>
            <w:right w:val="none" w:sz="0" w:space="0" w:color="auto"/>
          </w:divBdr>
        </w:div>
        <w:div w:id="601568299">
          <w:marLeft w:val="0"/>
          <w:marRight w:val="0"/>
          <w:marTop w:val="0"/>
          <w:marBottom w:val="0"/>
          <w:divBdr>
            <w:top w:val="none" w:sz="0" w:space="0" w:color="auto"/>
            <w:left w:val="none" w:sz="0" w:space="0" w:color="auto"/>
            <w:bottom w:val="none" w:sz="0" w:space="0" w:color="auto"/>
            <w:right w:val="none" w:sz="0" w:space="0" w:color="auto"/>
          </w:divBdr>
        </w:div>
        <w:div w:id="1976451916">
          <w:marLeft w:val="0"/>
          <w:marRight w:val="0"/>
          <w:marTop w:val="0"/>
          <w:marBottom w:val="0"/>
          <w:divBdr>
            <w:top w:val="none" w:sz="0" w:space="0" w:color="auto"/>
            <w:left w:val="none" w:sz="0" w:space="0" w:color="auto"/>
            <w:bottom w:val="none" w:sz="0" w:space="0" w:color="auto"/>
            <w:right w:val="none" w:sz="0" w:space="0" w:color="auto"/>
          </w:divBdr>
        </w:div>
        <w:div w:id="1451364282">
          <w:marLeft w:val="0"/>
          <w:marRight w:val="0"/>
          <w:marTop w:val="0"/>
          <w:marBottom w:val="0"/>
          <w:divBdr>
            <w:top w:val="none" w:sz="0" w:space="0" w:color="auto"/>
            <w:left w:val="none" w:sz="0" w:space="0" w:color="auto"/>
            <w:bottom w:val="none" w:sz="0" w:space="0" w:color="auto"/>
            <w:right w:val="none" w:sz="0" w:space="0" w:color="auto"/>
          </w:divBdr>
        </w:div>
        <w:div w:id="1612084244">
          <w:marLeft w:val="0"/>
          <w:marRight w:val="0"/>
          <w:marTop w:val="0"/>
          <w:marBottom w:val="0"/>
          <w:divBdr>
            <w:top w:val="none" w:sz="0" w:space="0" w:color="auto"/>
            <w:left w:val="none" w:sz="0" w:space="0" w:color="auto"/>
            <w:bottom w:val="none" w:sz="0" w:space="0" w:color="auto"/>
            <w:right w:val="none" w:sz="0" w:space="0" w:color="auto"/>
          </w:divBdr>
        </w:div>
        <w:div w:id="1148743554">
          <w:marLeft w:val="0"/>
          <w:marRight w:val="0"/>
          <w:marTop w:val="0"/>
          <w:marBottom w:val="0"/>
          <w:divBdr>
            <w:top w:val="none" w:sz="0" w:space="0" w:color="auto"/>
            <w:left w:val="none" w:sz="0" w:space="0" w:color="auto"/>
            <w:bottom w:val="none" w:sz="0" w:space="0" w:color="auto"/>
            <w:right w:val="none" w:sz="0" w:space="0" w:color="auto"/>
          </w:divBdr>
        </w:div>
        <w:div w:id="1934852087">
          <w:marLeft w:val="0"/>
          <w:marRight w:val="0"/>
          <w:marTop w:val="0"/>
          <w:marBottom w:val="0"/>
          <w:divBdr>
            <w:top w:val="none" w:sz="0" w:space="0" w:color="auto"/>
            <w:left w:val="none" w:sz="0" w:space="0" w:color="auto"/>
            <w:bottom w:val="none" w:sz="0" w:space="0" w:color="auto"/>
            <w:right w:val="none" w:sz="0" w:space="0" w:color="auto"/>
          </w:divBdr>
        </w:div>
        <w:div w:id="1212382908">
          <w:marLeft w:val="0"/>
          <w:marRight w:val="0"/>
          <w:marTop w:val="0"/>
          <w:marBottom w:val="0"/>
          <w:divBdr>
            <w:top w:val="none" w:sz="0" w:space="0" w:color="auto"/>
            <w:left w:val="none" w:sz="0" w:space="0" w:color="auto"/>
            <w:bottom w:val="none" w:sz="0" w:space="0" w:color="auto"/>
            <w:right w:val="none" w:sz="0" w:space="0" w:color="auto"/>
          </w:divBdr>
        </w:div>
        <w:div w:id="524370775">
          <w:marLeft w:val="0"/>
          <w:marRight w:val="0"/>
          <w:marTop w:val="0"/>
          <w:marBottom w:val="0"/>
          <w:divBdr>
            <w:top w:val="none" w:sz="0" w:space="0" w:color="auto"/>
            <w:left w:val="none" w:sz="0" w:space="0" w:color="auto"/>
            <w:bottom w:val="none" w:sz="0" w:space="0" w:color="auto"/>
            <w:right w:val="none" w:sz="0" w:space="0" w:color="auto"/>
          </w:divBdr>
        </w:div>
        <w:div w:id="243028687">
          <w:marLeft w:val="0"/>
          <w:marRight w:val="0"/>
          <w:marTop w:val="0"/>
          <w:marBottom w:val="0"/>
          <w:divBdr>
            <w:top w:val="none" w:sz="0" w:space="0" w:color="auto"/>
            <w:left w:val="none" w:sz="0" w:space="0" w:color="auto"/>
            <w:bottom w:val="none" w:sz="0" w:space="0" w:color="auto"/>
            <w:right w:val="none" w:sz="0" w:space="0" w:color="auto"/>
          </w:divBdr>
        </w:div>
        <w:div w:id="1697929265">
          <w:marLeft w:val="0"/>
          <w:marRight w:val="0"/>
          <w:marTop w:val="0"/>
          <w:marBottom w:val="0"/>
          <w:divBdr>
            <w:top w:val="none" w:sz="0" w:space="0" w:color="auto"/>
            <w:left w:val="none" w:sz="0" w:space="0" w:color="auto"/>
            <w:bottom w:val="none" w:sz="0" w:space="0" w:color="auto"/>
            <w:right w:val="none" w:sz="0" w:space="0" w:color="auto"/>
          </w:divBdr>
        </w:div>
        <w:div w:id="2138913045">
          <w:marLeft w:val="0"/>
          <w:marRight w:val="0"/>
          <w:marTop w:val="0"/>
          <w:marBottom w:val="0"/>
          <w:divBdr>
            <w:top w:val="none" w:sz="0" w:space="0" w:color="auto"/>
            <w:left w:val="none" w:sz="0" w:space="0" w:color="auto"/>
            <w:bottom w:val="none" w:sz="0" w:space="0" w:color="auto"/>
            <w:right w:val="none" w:sz="0" w:space="0" w:color="auto"/>
          </w:divBdr>
        </w:div>
        <w:div w:id="1937128979">
          <w:marLeft w:val="0"/>
          <w:marRight w:val="0"/>
          <w:marTop w:val="0"/>
          <w:marBottom w:val="0"/>
          <w:divBdr>
            <w:top w:val="none" w:sz="0" w:space="0" w:color="auto"/>
            <w:left w:val="none" w:sz="0" w:space="0" w:color="auto"/>
            <w:bottom w:val="none" w:sz="0" w:space="0" w:color="auto"/>
            <w:right w:val="none" w:sz="0" w:space="0" w:color="auto"/>
          </w:divBdr>
        </w:div>
        <w:div w:id="25064059">
          <w:marLeft w:val="0"/>
          <w:marRight w:val="0"/>
          <w:marTop w:val="0"/>
          <w:marBottom w:val="0"/>
          <w:divBdr>
            <w:top w:val="none" w:sz="0" w:space="0" w:color="auto"/>
            <w:left w:val="none" w:sz="0" w:space="0" w:color="auto"/>
            <w:bottom w:val="none" w:sz="0" w:space="0" w:color="auto"/>
            <w:right w:val="none" w:sz="0" w:space="0" w:color="auto"/>
          </w:divBdr>
        </w:div>
        <w:div w:id="8258505">
          <w:marLeft w:val="0"/>
          <w:marRight w:val="0"/>
          <w:marTop w:val="0"/>
          <w:marBottom w:val="0"/>
          <w:divBdr>
            <w:top w:val="none" w:sz="0" w:space="0" w:color="auto"/>
            <w:left w:val="none" w:sz="0" w:space="0" w:color="auto"/>
            <w:bottom w:val="none" w:sz="0" w:space="0" w:color="auto"/>
            <w:right w:val="none" w:sz="0" w:space="0" w:color="auto"/>
          </w:divBdr>
        </w:div>
        <w:div w:id="1356495035">
          <w:marLeft w:val="0"/>
          <w:marRight w:val="0"/>
          <w:marTop w:val="0"/>
          <w:marBottom w:val="0"/>
          <w:divBdr>
            <w:top w:val="none" w:sz="0" w:space="0" w:color="auto"/>
            <w:left w:val="none" w:sz="0" w:space="0" w:color="auto"/>
            <w:bottom w:val="none" w:sz="0" w:space="0" w:color="auto"/>
            <w:right w:val="none" w:sz="0" w:space="0" w:color="auto"/>
          </w:divBdr>
        </w:div>
        <w:div w:id="1205094272">
          <w:marLeft w:val="0"/>
          <w:marRight w:val="0"/>
          <w:marTop w:val="0"/>
          <w:marBottom w:val="0"/>
          <w:divBdr>
            <w:top w:val="none" w:sz="0" w:space="0" w:color="auto"/>
            <w:left w:val="none" w:sz="0" w:space="0" w:color="auto"/>
            <w:bottom w:val="none" w:sz="0" w:space="0" w:color="auto"/>
            <w:right w:val="none" w:sz="0" w:space="0" w:color="auto"/>
          </w:divBdr>
        </w:div>
        <w:div w:id="458718895">
          <w:marLeft w:val="0"/>
          <w:marRight w:val="0"/>
          <w:marTop w:val="0"/>
          <w:marBottom w:val="0"/>
          <w:divBdr>
            <w:top w:val="none" w:sz="0" w:space="0" w:color="auto"/>
            <w:left w:val="none" w:sz="0" w:space="0" w:color="auto"/>
            <w:bottom w:val="none" w:sz="0" w:space="0" w:color="auto"/>
            <w:right w:val="none" w:sz="0" w:space="0" w:color="auto"/>
          </w:divBdr>
        </w:div>
      </w:divsChild>
    </w:div>
    <w:div w:id="1807620156">
      <w:bodyDiv w:val="1"/>
      <w:marLeft w:val="0"/>
      <w:marRight w:val="0"/>
      <w:marTop w:val="0"/>
      <w:marBottom w:val="0"/>
      <w:divBdr>
        <w:top w:val="none" w:sz="0" w:space="0" w:color="auto"/>
        <w:left w:val="none" w:sz="0" w:space="0" w:color="auto"/>
        <w:bottom w:val="none" w:sz="0" w:space="0" w:color="auto"/>
        <w:right w:val="none" w:sz="0" w:space="0" w:color="auto"/>
      </w:divBdr>
      <w:divsChild>
        <w:div w:id="1714698264">
          <w:marLeft w:val="0"/>
          <w:marRight w:val="0"/>
          <w:marTop w:val="240"/>
          <w:marBottom w:val="240"/>
          <w:divBdr>
            <w:top w:val="none" w:sz="0" w:space="0" w:color="auto"/>
            <w:left w:val="none" w:sz="0" w:space="0" w:color="auto"/>
            <w:bottom w:val="none" w:sz="0" w:space="0" w:color="auto"/>
            <w:right w:val="none" w:sz="0" w:space="0" w:color="auto"/>
          </w:divBdr>
        </w:div>
      </w:divsChild>
    </w:div>
    <w:div w:id="2051876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BCA67B-89A3-4891-A65E-191550A0B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14</Pages>
  <Words>5426</Words>
  <Characters>30934</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18</cp:revision>
  <dcterms:created xsi:type="dcterms:W3CDTF">2026-09-13T17:19:00Z</dcterms:created>
  <dcterms:modified xsi:type="dcterms:W3CDTF">2026-09-21T09:50:00Z</dcterms:modified>
</cp:coreProperties>
</file>