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4" w:type="dxa"/>
        <w:tblInd w:w="-567" w:type="dxa"/>
        <w:tblLook w:val="01E0" w:firstRow="1" w:lastRow="1" w:firstColumn="1" w:lastColumn="1" w:noHBand="0" w:noVBand="0"/>
      </w:tblPr>
      <w:tblGrid>
        <w:gridCol w:w="4639"/>
        <w:gridCol w:w="5575"/>
      </w:tblGrid>
      <w:tr>
        <w:trPr>
          <w:trHeight w:val="1097"/>
        </w:trPr>
        <w:tc>
          <w:tcPr>
            <w:tcW w:w="4639" w:type="dxa"/>
          </w:tcPr>
          <w:p>
            <w:pPr>
              <w:spacing w:after="0" w:line="240" w:lineRule="auto"/>
              <w:jc w:val="center"/>
              <w:rPr>
                <w:rFonts w:cs="Times New Roman"/>
                <w:sz w:val="26"/>
                <w:szCs w:val="26"/>
              </w:rPr>
            </w:pPr>
            <w:r>
              <w:rPr>
                <w:rFonts w:cs="Times New Roman"/>
                <w:sz w:val="26"/>
                <w:szCs w:val="26"/>
              </w:rPr>
              <w:t>UBND TỈNH ĐIỆN BIÊN</w:t>
            </w:r>
          </w:p>
          <w:p>
            <w:pPr>
              <w:spacing w:after="0" w:line="240" w:lineRule="auto"/>
              <w:jc w:val="center"/>
              <w:rPr>
                <w:rFonts w:cs="Times New Roman"/>
                <w:b/>
                <w:spacing w:val="-4"/>
                <w:sz w:val="26"/>
                <w:szCs w:val="26"/>
              </w:rPr>
            </w:pPr>
            <w:r>
              <w:rPr>
                <w:rFonts w:cs="Times New Roman"/>
                <w:b/>
                <w:spacing w:val="-4"/>
                <w:sz w:val="26"/>
                <w:szCs w:val="26"/>
              </w:rPr>
              <w:t>HỘI ĐỒNG PHỐI HỢP PHỔ BIẾN, GIÁO DỤC PHÁP LUẬT</w:t>
            </w:r>
          </w:p>
          <w:p>
            <w:pPr>
              <w:spacing w:after="0" w:line="240" w:lineRule="auto"/>
              <w:jc w:val="center"/>
              <w:rPr>
                <w:rFonts w:cs="Times New Roman"/>
                <w:szCs w:val="28"/>
              </w:rPr>
            </w:pPr>
            <w:r>
              <w:rPr>
                <w:rFonts w:cs="Times New Roman"/>
                <w:b/>
                <w:noProof/>
                <w:szCs w:val="28"/>
                <w:lang w:val="en-US"/>
              </w:rPr>
              <mc:AlternateContent>
                <mc:Choice Requires="wps">
                  <w:drawing>
                    <wp:anchor distT="0" distB="0" distL="114300" distR="114300" simplePos="0" relativeHeight="251658240" behindDoc="0" locked="0" layoutInCell="1" allowOverlap="1">
                      <wp:simplePos x="0" y="0"/>
                      <wp:positionH relativeFrom="column">
                        <wp:posOffset>1045210</wp:posOffset>
                      </wp:positionH>
                      <wp:positionV relativeFrom="paragraph">
                        <wp:posOffset>34925</wp:posOffset>
                      </wp:positionV>
                      <wp:extent cx="733425" cy="0"/>
                      <wp:effectExtent l="6985" t="6350" r="12065" b="1270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2.75pt" to="14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"/>
                  </w:pict>
                </mc:Fallback>
              </mc:AlternateContent>
            </w:r>
          </w:p>
          <w:p>
            <w:pPr>
              <w:spacing w:after="0" w:line="240" w:lineRule="auto"/>
              <w:jc w:val="center"/>
              <w:rPr>
                <w:rFonts w:cs="Times New Roman"/>
                <w:szCs w:val="28"/>
              </w:rPr>
            </w:pPr>
          </w:p>
        </w:tc>
        <w:tc>
          <w:tcPr>
            <w:tcW w:w="5575" w:type="dxa"/>
          </w:tcPr>
          <w:p>
            <w:pPr>
              <w:spacing w:after="0" w:line="240" w:lineRule="auto"/>
              <w:jc w:val="center"/>
              <w:rPr>
                <w:rFonts w:cs="Times New Roman"/>
                <w:b/>
                <w:spacing w:val="-6"/>
                <w:sz w:val="26"/>
                <w:szCs w:val="26"/>
              </w:rPr>
            </w:pPr>
            <w:r>
              <w:rPr>
                <w:rFonts w:cs="Times New Roman"/>
                <w:b/>
                <w:spacing w:val="-6"/>
                <w:sz w:val="26"/>
                <w:szCs w:val="26"/>
              </w:rPr>
              <w:t>CỘNG HÒA XÃ HỘI CHỦ NGHĨA VIỆT NAM</w:t>
            </w:r>
          </w:p>
          <w:p>
            <w:pPr>
              <w:spacing w:after="0" w:line="240" w:lineRule="auto"/>
              <w:jc w:val="center"/>
              <w:rPr>
                <w:rFonts w:cs="Times New Roman"/>
                <w:b/>
                <w:szCs w:val="28"/>
              </w:rPr>
            </w:pPr>
            <w:r>
              <w:rPr>
                <w:rFonts w:cs="Times New Roman"/>
                <w:b/>
                <w:szCs w:val="28"/>
              </w:rPr>
              <w:t xml:space="preserve">Độc lập </w:t>
            </w:r>
            <w:r>
              <w:rPr>
                <w:rFonts w:cs="Times New Roman"/>
                <w:szCs w:val="28"/>
              </w:rPr>
              <w:t>-</w:t>
            </w:r>
            <w:r>
              <w:rPr>
                <w:rFonts w:cs="Times New Roman"/>
                <w:b/>
                <w:szCs w:val="28"/>
              </w:rPr>
              <w:t xml:space="preserve"> Tự do </w:t>
            </w:r>
            <w:r>
              <w:rPr>
                <w:rFonts w:cs="Times New Roman"/>
                <w:szCs w:val="28"/>
              </w:rPr>
              <w:t>-</w:t>
            </w:r>
            <w:r>
              <w:rPr>
                <w:rFonts w:cs="Times New Roman"/>
                <w:b/>
                <w:szCs w:val="28"/>
              </w:rPr>
              <w:t xml:space="preserve"> Hạnh phúc</w:t>
            </w:r>
          </w:p>
          <w:p>
            <w:pPr>
              <w:tabs>
                <w:tab w:val="center" w:pos="2639"/>
                <w:tab w:val="left" w:pos="3050"/>
              </w:tabs>
              <w:spacing w:after="0" w:line="240" w:lineRule="auto"/>
              <w:rPr>
                <w:rFonts w:cs="Times New Roman"/>
                <w:szCs w:val="28"/>
              </w:rPr>
            </w:pPr>
            <w:r>
              <w:rPr>
                <w:rFonts w:cs="Times New Roman"/>
                <w:noProof/>
                <w:szCs w:val="28"/>
                <w:lang w:val="en-US"/>
              </w:rPr>
              <mc:AlternateContent>
                <mc:Choice Requires="wps">
                  <w:drawing>
                    <wp:anchor distT="0" distB="0" distL="114300" distR="114300" simplePos="0" relativeHeight="251660288" behindDoc="0" locked="0" layoutInCell="1" allowOverlap="1">
                      <wp:simplePos x="0" y="0"/>
                      <wp:positionH relativeFrom="column">
                        <wp:posOffset>631825</wp:posOffset>
                      </wp:positionH>
                      <wp:positionV relativeFrom="paragraph">
                        <wp:posOffset>27940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5pt,2.2pt" to="22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"/>
                  </w:pict>
                </mc:Fallback>
              </mc:AlternateContent>
            </w:r>
            <w:r>
              <w:rPr>
                <w:rFonts w:cs="Times New Roman"/>
                <w:szCs w:val="28"/>
              </w:rPr>
              <w:tab/>
            </w:r>
          </w:p>
          <w:p>
            <w:pPr>
              <w:spacing w:after="0" w:line="240" w:lineRule="auto"/>
              <w:jc w:val="center"/>
              <w:rPr>
                <w:rFonts w:cs="Times New Roman"/>
                <w:i/>
                <w:szCs w:val="28"/>
              </w:rPr>
            </w:pPr>
          </w:p>
        </w:tc>
      </w:tr>
    </w:tbl>
    <w:p>
      <w:pPr>
        <w:spacing w:after="0" w:line="240" w:lineRule="auto"/>
        <w:jc w:val="center"/>
        <w:rPr>
          <w:rFonts w:cs="Times New Roman"/>
          <w:b/>
          <w:bCs/>
          <w:szCs w:val="28"/>
        </w:rPr>
      </w:pPr>
      <w:r>
        <w:rPr>
          <w:rFonts w:cs="Times New Roman"/>
          <w:b/>
          <w:bCs/>
          <w:szCs w:val="28"/>
        </w:rPr>
        <w:t xml:space="preserve">ĐỀ CƯƠNG GIỚI THIỆU, PHỔ BIẾN </w:t>
      </w:r>
    </w:p>
    <w:p>
      <w:pPr>
        <w:spacing w:after="0" w:line="240" w:lineRule="auto"/>
        <w:jc w:val="center"/>
        <w:rPr>
          <w:rFonts w:cs="Times New Roman"/>
          <w:b/>
          <w:szCs w:val="28"/>
        </w:rPr>
      </w:pPr>
      <w:r>
        <w:rPr>
          <w:b/>
          <w:szCs w:val="28"/>
        </w:rPr>
        <w:t>LUẬT TÍN NGƯỠNG, TÔN GIÁO</w:t>
      </w:r>
    </w:p>
    <w:p>
      <w:pPr>
        <w:spacing w:after="0" w:line="240" w:lineRule="auto"/>
        <w:ind w:left="709"/>
        <w:jc w:val="center"/>
        <w:rPr>
          <w:rFonts w:cs="Times New Roman"/>
          <w:b/>
          <w:i/>
          <w:szCs w:val="28"/>
        </w:rPr>
      </w:pPr>
      <w:r>
        <w:rPr>
          <w:rFonts w:cs="Times New Roman"/>
          <w:noProof/>
          <w:szCs w:val="28"/>
          <w:lang w:val="en-US"/>
        </w:rPr>
        <mc:AlternateContent>
          <mc:Choice Requires="wps">
            <w:drawing>
              <wp:anchor distT="4294967295" distB="4294967295" distL="114300" distR="114300" simplePos="0" relativeHeight="25166233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"/>
            </w:pict>
          </mc:Fallback>
        </mc:AlternateContent>
      </w:r>
      <w:r>
        <w:rPr>
          <w:rFonts w:cs="Times New Roman"/>
          <w:noProof/>
          <w:szCs w:val="28"/>
          <w:lang w:val="en-US"/>
        </w:rPr>
        <mc:AlternateContent>
          <mc:Choice Requires="wps">
            <w:drawing>
              <wp:anchor distT="4294967295" distB="4294967295" distL="114300" distR="114300" simplePos="0" relativeHeight="25166438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9986967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"/>
            </w:pict>
          </mc:Fallback>
        </mc:AlternateContent>
      </w:r>
      <w:r>
        <w:rPr>
          <w:rFonts w:cs="Times New Roman"/>
          <w:b/>
          <w:i/>
          <w:szCs w:val="28"/>
        </w:rPr>
        <w:t xml:space="preserve">(Tài liệu dành cho Báo cáo viên pháp luật cấp tỉnh, </w:t>
      </w:r>
    </w:p>
    <w:p>
      <w:pPr>
        <w:spacing w:after="0" w:line="240" w:lineRule="auto"/>
        <w:ind w:left="709"/>
        <w:jc w:val="center"/>
        <w:rPr>
          <w:rFonts w:cs="Times New Roman"/>
          <w:b/>
          <w:i/>
          <w:szCs w:val="28"/>
        </w:rPr>
      </w:pPr>
      <w:r>
        <w:rPr>
          <w:rFonts w:cs="Times New Roman"/>
          <w:b/>
          <w:i/>
          <w:szCs w:val="28"/>
        </w:rPr>
        <w:t xml:space="preserve">Tuyên truyền viên pháp luật </w:t>
      </w:r>
      <w:r>
        <w:rPr>
          <w:rFonts w:cs="Times New Roman"/>
          <w:noProof/>
          <w:szCs w:val="28"/>
          <w:lang w:val="en-US"/>
        </w:rPr>
        <mc:AlternateContent>
          <mc:Choice Requires="wps">
            <w:drawing>
              <wp:anchor distT="4294967295" distB="4294967295" distL="114300" distR="114300" simplePos="0" relativeHeight="251663360"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1096084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"/>
            </w:pict>
          </mc:Fallback>
        </mc:AlternateContent>
      </w:r>
      <w:r>
        <w:rPr>
          <w:rFonts w:cs="Times New Roman"/>
          <w:b/>
          <w:i/>
          <w:szCs w:val="28"/>
        </w:rPr>
        <w:t>trên địa bàn tỉnh Điện Biên)</w:t>
      </w:r>
    </w:p>
    <w:p>
      <w:pPr>
        <w:shd w:val="clear" w:color="auto" w:fill="FFFFFF"/>
        <w:spacing w:before="120" w:after="120" w:line="240" w:lineRule="auto"/>
        <w:ind w:left="885" w:firstLine="709"/>
        <w:jc w:val="center"/>
        <w:outlineLvl w:val="2"/>
        <w:rPr>
          <w:szCs w:val="28"/>
          <w:lang w:val="it-IT"/>
        </w:rPr>
      </w:pPr>
      <w:r>
        <w:rPr>
          <w:rFonts w:cs="Times New Roman"/>
          <w:noProof/>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2176379</wp:posOffset>
                </wp:positionH>
                <wp:positionV relativeFrom="paragraph">
                  <wp:posOffset>34925</wp:posOffset>
                </wp:positionV>
                <wp:extent cx="1473200" cy="6350"/>
                <wp:effectExtent l="0" t="0" r="31750" b="31750"/>
                <wp:wrapNone/>
                <wp:docPr id="7927823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1.35pt,2.75pt" to="287.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"/>
            </w:pict>
          </mc:Fallback>
        </mc:AlternateContent>
      </w:r>
    </w:p>
    <w:p>
      <w:pPr>
        <w:spacing w:before="120" w:after="120" w:line="240" w:lineRule="auto"/>
        <w:ind w:firstLine="720"/>
        <w:jc w:val="both"/>
        <w:rPr>
          <w:rFonts w:cs="Times New Roman"/>
          <w:szCs w:val="28"/>
          <w:lang w:val="en-US"/>
        </w:rPr>
      </w:pPr>
      <w:r>
        <w:rPr>
          <w:rFonts w:cs="Times New Roman"/>
          <w:bCs/>
          <w:szCs w:val="28"/>
          <w:lang w:val="it-IT"/>
        </w:rPr>
        <w:t xml:space="preserve">Luật Tín ngưỡng, tôn giáo số </w:t>
      </w:r>
      <w:r>
        <w:rPr>
          <w:rFonts w:cs="Times New Roman"/>
          <w:szCs w:val="28"/>
          <w:lang w:val="it-IT"/>
        </w:rPr>
        <w:t>07/2026/QH16</w:t>
      </w:r>
      <w:r>
        <w:rPr>
          <w:rFonts w:cs="Times New Roman"/>
          <w:i/>
          <w:iCs/>
          <w:szCs w:val="28"/>
          <w:lang w:val="it-IT"/>
        </w:rPr>
        <w:t xml:space="preserve"> </w:t>
      </w:r>
      <w:r>
        <w:rPr>
          <w:rFonts w:cs="Times New Roman"/>
          <w:szCs w:val="28"/>
          <w:lang w:val="it-IT"/>
        </w:rPr>
        <w:t xml:space="preserve">đã được Quốc hội nước Cộng hòa xã hội chủ nghĩa Việt Nam khóa XVI, kỳ họp thứ Nhất thông qua ngày 23/4/2026, có hiệu lực thi hành kể từ ngày 01/01/2027 </w:t>
      </w:r>
      <w:r>
        <w:rPr>
          <w:rFonts w:cs="Times New Roman"/>
          <w:iCs/>
          <w:szCs w:val="28"/>
          <w:lang w:val="it-IT"/>
        </w:rPr>
        <w:t>(Luật số 07/2026/QH16).</w:t>
      </w:r>
      <w:r>
        <w:rPr>
          <w:rFonts w:cs="Times New Roman"/>
          <w:szCs w:val="28"/>
          <w:lang w:val="it-IT"/>
        </w:rPr>
        <w:t xml:space="preserve"> </w:t>
      </w:r>
      <w:r>
        <w:rPr>
          <w:rFonts w:cs="Times New Roman"/>
          <w:szCs w:val="28"/>
        </w:rPr>
        <w:t>Luật Tín ngưỡng, tôn giáo số 02/2016/QH14 đã được sửa đổi, bổ sung một số điều theo Luật số 84/2025/QH15 hết hiệu lực thi hành từ ngày Luật này có hiệu lực thi hành, trừ trường hợp quy định tại khoản 1 Điều 61 của Luật này</w:t>
      </w:r>
      <w:r>
        <w:rPr>
          <w:rFonts w:cs="Times New Roman"/>
          <w:szCs w:val="28"/>
          <w:lang w:val="en-US"/>
        </w:rPr>
        <w:t>.</w:t>
      </w:r>
    </w:p>
    <w:p>
      <w:pPr>
        <w:widowControl w:val="0"/>
        <w:spacing w:before="120" w:after="120" w:line="240" w:lineRule="auto"/>
        <w:ind w:firstLine="720"/>
        <w:jc w:val="both"/>
        <w:rPr>
          <w:rFonts w:cs="Times New Roman"/>
          <w:b/>
          <w:bCs/>
          <w:szCs w:val="28"/>
          <w:lang w:val="it-IT"/>
        </w:rPr>
      </w:pPr>
      <w:r>
        <w:rPr>
          <w:rFonts w:cs="Times New Roman"/>
          <w:b/>
          <w:bCs/>
          <w:szCs w:val="28"/>
          <w:lang w:val="it-IT"/>
        </w:rPr>
        <w:t>PHẦN I. NHỮNG VẤN ĐỀ CHUNG</w:t>
      </w:r>
    </w:p>
    <w:p>
      <w:pPr>
        <w:spacing w:before="120" w:after="120" w:line="240" w:lineRule="auto"/>
        <w:ind w:firstLine="720"/>
        <w:jc w:val="both"/>
        <w:rPr>
          <w:rFonts w:cs="Times New Roman"/>
          <w:b/>
          <w:szCs w:val="28"/>
          <w:lang w:val="it-IT"/>
        </w:rPr>
      </w:pPr>
      <w:r>
        <w:rPr>
          <w:rFonts w:cs="Times New Roman"/>
          <w:b/>
          <w:szCs w:val="28"/>
          <w:lang w:val="sq-AL"/>
        </w:rPr>
        <w:t xml:space="preserve">I. SỰ CẦN THIẾT BAN HÀNH </w:t>
      </w:r>
      <w:r>
        <w:rPr>
          <w:rFonts w:cs="Times New Roman"/>
          <w:b/>
          <w:szCs w:val="28"/>
          <w:lang w:val="it-IT"/>
        </w:rPr>
        <w:t>LUẬT TÍN NGƯỠNG, TÔN GIÁO</w:t>
      </w:r>
    </w:p>
    <w:p>
      <w:pPr>
        <w:spacing w:before="120" w:after="120" w:line="240" w:lineRule="auto"/>
        <w:ind w:firstLine="720"/>
        <w:jc w:val="both"/>
        <w:rPr>
          <w:rFonts w:cs="Times New Roman"/>
          <w:b/>
          <w:szCs w:val="28"/>
          <w:lang w:val="it-IT"/>
        </w:rPr>
      </w:pPr>
      <w:r>
        <w:rPr>
          <w:rFonts w:cs="Times New Roman"/>
          <w:b/>
          <w:szCs w:val="28"/>
          <w:lang w:val="it-IT"/>
        </w:rPr>
        <w:t xml:space="preserve">1. Cơ sở chính trị, pháp lý </w:t>
      </w:r>
    </w:p>
    <w:p>
      <w:pPr>
        <w:spacing w:before="120" w:after="120" w:line="240" w:lineRule="auto"/>
        <w:ind w:firstLine="720"/>
        <w:jc w:val="both"/>
        <w:rPr>
          <w:rFonts w:cs="Times New Roman"/>
          <w:szCs w:val="28"/>
          <w:lang w:val="en-US"/>
        </w:rPr>
      </w:pPr>
      <w:r>
        <w:rPr>
          <w:rFonts w:cs="Times New Roman"/>
          <w:szCs w:val="28"/>
          <w:lang w:val="vi-VN"/>
        </w:rPr>
        <w:t>a) Cơ sở chính trị</w:t>
      </w:r>
    </w:p>
    <w:p>
      <w:pPr>
        <w:spacing w:before="120" w:after="120" w:line="240" w:lineRule="auto"/>
        <w:ind w:firstLine="720"/>
        <w:jc w:val="both"/>
        <w:rPr>
          <w:rFonts w:cs="Times New Roman"/>
          <w:b/>
          <w:szCs w:val="28"/>
          <w:lang w:val="it-IT"/>
        </w:rPr>
      </w:pPr>
      <w:r>
        <w:rPr>
          <w:rFonts w:cs="Times New Roman"/>
          <w:szCs w:val="28"/>
          <w:lang w:val="vi-VN"/>
        </w:rPr>
        <w:t xml:space="preserve">Văn kiện Đại hội đại biểu toàn quốc lần thứ XIV của Đảng khẳng định phát huy mạnh mẽ vai trò chủ thể của Nhân dân, dân chủ xã hội chủ nghĩa và sức mạnh đại đoàn kết toàn dân tộc: </w:t>
      </w:r>
      <w:r>
        <w:rPr>
          <w:rFonts w:cs="Times New Roman"/>
          <w:i/>
          <w:iCs/>
          <w:szCs w:val="28"/>
          <w:lang w:val="vi-VN"/>
        </w:rPr>
        <w:t>“Xây dựng và thực hiện các cơ chế, chính sách cụ thể nhằm thực hiện các mục tiêu xây dựng đối với các giai cấp, tầng lớp nhân dân; các chính sách về dân tộc, tôn giáo, tín ngưỡng và người Việt Nam ở nước ngoài”; “Hoàn thiện pháp luật trong lĩnh vực tín ngưỡng, tôn giáo”.</w:t>
      </w:r>
    </w:p>
    <w:p>
      <w:pPr>
        <w:shd w:val="clear" w:color="auto" w:fill="FFFFFF"/>
        <w:spacing w:before="120" w:after="120" w:line="240" w:lineRule="auto"/>
        <w:ind w:firstLine="720"/>
        <w:jc w:val="both"/>
        <w:rPr>
          <w:rFonts w:eastAsia="Times New Roman" w:cs="Times New Roman"/>
          <w:spacing w:val="3"/>
          <w:szCs w:val="28"/>
          <w:lang w:val="vi-VN"/>
        </w:rPr>
      </w:pPr>
      <w:r>
        <w:rPr>
          <w:rFonts w:cs="Times New Roman"/>
          <w:spacing w:val="3"/>
          <w:szCs w:val="28"/>
          <w:lang w:val="vi-VN"/>
        </w:rPr>
        <w:t xml:space="preserve">Nghị quyết số 25-NQ/TW ngày 12/3/2003 của Ban Chấp hành Trung ương Đảng (khóa IX) về công tác tôn giáo; Chỉ thị số 18-CT/TW ngày 10/01/2018 của Bộ Chính trị về tiếp tục thực hiện Nghị quyết số 25-NQ/TW yêu cầu: </w:t>
      </w:r>
      <w:r>
        <w:rPr>
          <w:rFonts w:cs="Times New Roman"/>
          <w:i/>
          <w:iCs/>
          <w:spacing w:val="3"/>
          <w:szCs w:val="28"/>
          <w:lang w:val="vi-VN"/>
        </w:rPr>
        <w:t xml:space="preserve">Tiếp tục hoàn thiện chính sách, pháp luật về tín ngưỡng, tôn giáo. Sửa đổi, bổ sung chính sách, pháp luật có liên quan đến tôn giáo bảo đảm đồng bộ với pháp luật về tôn giáo và các công ước quốc tế mà Việt Nam tham gia; Tăng cường công tác tổng kết thực tiễn, nghiên cứu lý luận và tham khảo kinh nghiệm quốc tế về công tác tôn giáo, góp phần cung cấp luận cứ khoa học cho việc xây dựng, hoàn thiện và thực hiện các quan điểm, chủ trương, chính sách, pháp luật đối với tôn giáo; Nghiêm cấm sự phân biệt đối xử với công dân vì lý do tín ngưỡng, tôn giáo. Đồng thời, nghiêm cấm lợi dụng tín ngưỡng, tôn giáo để hoạt động mê tín dị đoan, hoạt động trái pháp luật và chính sách của Nhà nước, kích động chia rẽ nhân dân, chia rẽ các dân tộc, gây rối, xâm phạm an ninh quốc </w:t>
      </w:r>
      <w:r>
        <w:rPr>
          <w:rFonts w:eastAsia="Times New Roman" w:cs="Times New Roman"/>
          <w:i/>
          <w:iCs/>
          <w:spacing w:val="3"/>
          <w:szCs w:val="28"/>
          <w:lang w:val="vi-VN"/>
        </w:rPr>
        <w:t>gia; Phát huy những giá trị văn hóa, đạo đức tốt đẹp và nguồn lực của tôn giáo cho quá trình phát triển đất nước.</w:t>
      </w:r>
      <w:r>
        <w:rPr>
          <w:rFonts w:eastAsia="Times New Roman" w:cs="Times New Roman"/>
          <w:spacing w:val="3"/>
          <w:szCs w:val="28"/>
          <w:lang w:val="vi-VN"/>
        </w:rPr>
        <w:t xml:space="preserve">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lastRenderedPageBreak/>
        <w:t xml:space="preserve">Nghị quyết số 57-NQ/TW ngày 22/12/2024 của Bộ Chính trị về đột phá phát triển khoa học, công nghệ, đổi mới sáng tạo và chuyển đổi số quốc gia đã chỉ rõ: </w:t>
      </w:r>
      <w:r>
        <w:rPr>
          <w:rFonts w:eastAsia="Times New Roman" w:cs="Times New Roman"/>
          <w:i/>
          <w:iCs/>
          <w:spacing w:val="3"/>
          <w:szCs w:val="28"/>
          <w:lang w:val="vi-VN"/>
        </w:rPr>
        <w:t>“cần tập trung hoàn thiện hệ thống pháp luật trên tất cả các lĩnh vực, th</w:t>
      </w:r>
      <w:r>
        <w:rPr>
          <w:rFonts w:eastAsia="Times New Roman" w:cs="Times New Roman"/>
          <w:i/>
          <w:iCs/>
          <w:spacing w:val="3"/>
          <w:szCs w:val="28"/>
          <w:lang w:val="en-US"/>
        </w:rPr>
        <w:t>áo</w:t>
      </w:r>
      <w:r>
        <w:rPr>
          <w:rFonts w:eastAsia="Times New Roman" w:cs="Times New Roman"/>
          <w:i/>
          <w:iCs/>
          <w:spacing w:val="3"/>
          <w:szCs w:val="28"/>
          <w:lang w:val="vi-VN"/>
        </w:rPr>
        <w:t xml:space="preserve"> gỡ kịp thời khó khăn, vướng mắc, khơi dậy, phát huy tiềm năng và nguồn nhân lực, tạo động lực mới cho sự phát triển nhanh và bền vững của đất nước, phát huy dân chủ, bảo đảm, bảo vệ quyền con người, quyền công dân,...”.</w:t>
      </w:r>
      <w:r>
        <w:rPr>
          <w:rFonts w:eastAsia="Times New Roman" w:cs="Times New Roman"/>
          <w:spacing w:val="3"/>
          <w:szCs w:val="28"/>
          <w:lang w:val="vi-VN"/>
        </w:rPr>
        <w:t xml:space="preserve">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Nghị quyết số 66-NQ/TW ngày 30/4/2025 của Bộ Chính trị về đổi mới công tác xây dựng và thi hành pháp luật đáp ứng yêu cầu phát triển đất nước trong kỷ nguyên mới: </w:t>
      </w:r>
      <w:r>
        <w:rPr>
          <w:rFonts w:eastAsia="Times New Roman" w:cs="Times New Roman"/>
          <w:i/>
          <w:iCs/>
          <w:spacing w:val="3"/>
          <w:szCs w:val="28"/>
          <w:lang w:val="vi-VN"/>
        </w:rPr>
        <w:t xml:space="preserve">“khẩn trương sửa đổi, bổ sung các văn bản pháp luật đáp ứng yêu cầu thực hiện chủ trương tinh gọn tổ chức bộ máy của hệ thống chính trị, sắp xếp đơn vị hành chính, gắn với phân cấp, phân quyền...”; </w:t>
      </w:r>
      <w:r>
        <w:rPr>
          <w:rFonts w:eastAsia="Times New Roman" w:cs="Times New Roman"/>
          <w:spacing w:val="3"/>
          <w:szCs w:val="28"/>
          <w:lang w:val="vi-VN"/>
        </w:rPr>
        <w:t xml:space="preserve">đồng thời đặt ra yêu cầu đổi mới tư duy xây dựng pháp luật: </w:t>
      </w:r>
      <w:r>
        <w:rPr>
          <w:rFonts w:eastAsia="Times New Roman" w:cs="Times New Roman"/>
          <w:i/>
          <w:iCs/>
          <w:spacing w:val="3"/>
          <w:szCs w:val="28"/>
          <w:lang w:val="vi-VN"/>
        </w:rPr>
        <w:t xml:space="preserve">“... phát huy dân chủ, tôn trọng, bảo đảm, bảo vệ hiệu quả quyền con người, quyền công dân,;.. về cơ bản các luật khác, nhất là luật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Kết luận số 18-KL/TW ngày 02/4/2026, Kết luận Hội nghị lần thứ 2 Ban Chấp hành Trung ương Đảng khóa XIV về Kế hoạch phát triển kinh tế - xã hội, tài chính quốc gia và vay, trả nợ công, đầu tư công trung hạn 5 năm 2026 - 2030 gắn với thực hiện mục tiêu phấn đấu tăng trưởng "2 con số" yêu cầu: </w:t>
      </w:r>
      <w:r>
        <w:rPr>
          <w:rFonts w:eastAsia="Times New Roman" w:cs="Times New Roman"/>
          <w:i/>
          <w:iCs/>
          <w:spacing w:val="3"/>
          <w:szCs w:val="28"/>
          <w:lang w:val="vi-VN"/>
        </w:rPr>
        <w:t xml:space="preserve">“Phân cấp, phân quyền tối đa, thực chất gắn với cải cách thủ tục hành chính”; “chuyển mạnh phương thức quản lý nhà nước từ "tiền kiểm" sang "hậu kiểm"; “Đẩy mạnh cải cách thủ tục hành chính; chuẩn hóa, số hóa toàn bộ quy trình giải quyết thủ tục trên môi trường số, liên thông, chia sẻ dữ liệu giữa các cơ quan; rút ngắn tối đa thời gian, chi phí tuân thủ cho người dân, doanh nghiệp”.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b) Cơ sở pháp lý</w:t>
      </w:r>
    </w:p>
    <w:p>
      <w:pPr>
        <w:shd w:val="clear" w:color="auto" w:fill="FFFFFF"/>
        <w:spacing w:before="120" w:after="120" w:line="240" w:lineRule="auto"/>
        <w:ind w:firstLine="720"/>
        <w:jc w:val="both"/>
        <w:rPr>
          <w:rFonts w:cs="Times New Roman"/>
          <w:spacing w:val="3"/>
          <w:szCs w:val="28"/>
          <w:lang w:val="vi-VN"/>
        </w:rPr>
      </w:pPr>
      <w:r>
        <w:rPr>
          <w:rFonts w:eastAsia="Times New Roman" w:cs="Times New Roman"/>
          <w:spacing w:val="3"/>
          <w:szCs w:val="28"/>
          <w:lang w:val="vi-VN"/>
        </w:rPr>
        <w:t xml:space="preserve">Quyền tự do tín ngưỡng, tôn giáo là quyền cơ bản của con người được ghi nhận trong Tuyên ngôn thế giới về quyền con người năm 1948 và Công ước quốc tế về các quyền dân sự và chính trị năm 1966 mà Việt Nam là thành viên. Hiến pháp năm 2013 quy định </w:t>
      </w:r>
      <w:r>
        <w:rPr>
          <w:rFonts w:eastAsia="Times New Roman" w:cs="Times New Roman"/>
          <w:i/>
          <w:iCs/>
          <w:spacing w:val="3"/>
          <w:szCs w:val="28"/>
          <w:lang w:val="vi-VN"/>
        </w:rPr>
        <w:t xml:space="preserve">“Mọi người có quyền tự do tín ngưỡng, tôn giáo; theo hoặc không theo một tôn giáo nào, các tôn giáo bình đẳng trước pháp luật. Nhà nước tôn trọng và bảo hộ quyền tự do tín ngưỡng, tôn giáo. Không ai được xâm phạm tự do tín ngưỡng, tôn giáo hoặc lợi dụng tín ngưỡng, tôn giáo để vi </w:t>
      </w:r>
      <w:r>
        <w:rPr>
          <w:rFonts w:cs="Times New Roman"/>
          <w:i/>
          <w:iCs/>
          <w:spacing w:val="3"/>
          <w:szCs w:val="28"/>
          <w:lang w:val="vi-VN"/>
        </w:rPr>
        <w:t>phạm pháp luật”</w:t>
      </w:r>
      <w:r>
        <w:rPr>
          <w:rFonts w:cs="Times New Roman"/>
          <w:spacing w:val="3"/>
          <w:szCs w:val="28"/>
          <w:lang w:val="vi-VN"/>
        </w:rPr>
        <w:t xml:space="preserve"> (Điều 24); Luật Tổ chức chính quyền địa phương số 72/2025/QH15. </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Nghị quyết số 190/2025/QH</w:t>
      </w:r>
      <w:r>
        <w:rPr>
          <w:rFonts w:cs="Times New Roman"/>
          <w:spacing w:val="3"/>
          <w:szCs w:val="28"/>
          <w:lang w:val="en-US"/>
        </w:rPr>
        <w:t>1</w:t>
      </w:r>
      <w:r>
        <w:rPr>
          <w:rFonts w:cs="Times New Roman"/>
          <w:spacing w:val="3"/>
          <w:szCs w:val="28"/>
          <w:lang w:val="vi-VN"/>
        </w:rPr>
        <w:t xml:space="preserve">5 ngày 19/02/2025 của Quốc hội khóa XV quy định về xử lý một số vấn đề liên quan đến sắp xếp tổ chức bộ máy nhà nước, tạo cơ sở pháp lý cho việc tổ chức chính quyền địa phương 02 cấp đã quy định </w:t>
      </w:r>
      <w:r>
        <w:rPr>
          <w:rFonts w:cs="Times New Roman"/>
          <w:i/>
          <w:iCs/>
          <w:spacing w:val="3"/>
          <w:szCs w:val="28"/>
          <w:lang w:val="vi-VN"/>
        </w:rPr>
        <w:t xml:space="preserve">“Cơ quan, người có thẩm quyền phải ban hành văn bản quy phạm pháp luật theo thẩm quyền hoặc trình cấp có thẩm quyền ban hành văn bản quy phạm </w:t>
      </w:r>
      <w:r>
        <w:rPr>
          <w:rFonts w:cs="Times New Roman"/>
          <w:i/>
          <w:iCs/>
          <w:spacing w:val="3"/>
          <w:szCs w:val="28"/>
          <w:lang w:val="vi-VN"/>
        </w:rPr>
        <w:lastRenderedPageBreak/>
        <w:t>pháp luật theo trình tự, thủ tục rút gọn để xử lý các văn bản chịu sự tác động do sắp xếp tổ chức bộ máy nhà nước, bảo đảm hoàn thành trước ngày 01 tháng 3 năm 2027”.</w:t>
      </w:r>
      <w:r>
        <w:rPr>
          <w:rFonts w:cs="Times New Roman"/>
          <w:spacing w:val="3"/>
          <w:szCs w:val="28"/>
          <w:lang w:val="vi-VN"/>
        </w:rPr>
        <w:t xml:space="preserve"> </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 xml:space="preserve">Nghị quyết số 105/2025/UBTVQH15 ngày 26/9/2025 của Ủy ban Thường vụ Quốc hội về Chương trình lập pháp năm 2026, trong đó giao Chính phủ trình Quốc hội xem xét, thông qua Luật Tín ngưỡng, tôn giáo (sửa đổi) đề thay thế Luật </w:t>
      </w:r>
      <w:r>
        <w:rPr>
          <w:rFonts w:cs="Times New Roman"/>
          <w:szCs w:val="28"/>
        </w:rPr>
        <w:t>số 02/2016/QH14</w:t>
      </w:r>
      <w:r>
        <w:rPr>
          <w:rFonts w:cs="Times New Roman"/>
          <w:spacing w:val="3"/>
          <w:szCs w:val="28"/>
          <w:lang w:val="vi-VN"/>
        </w:rPr>
        <w:t xml:space="preserve">. </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 xml:space="preserve">Nghị quyết số 89/NQ-CP ngày 05/4/2026, Nghị quyết phiên họp Chính phủ thường kỳ tháng 3 năm 2026 và Hội nghị Chính phủ với địa phương: </w:t>
      </w:r>
      <w:r>
        <w:rPr>
          <w:rFonts w:cs="Times New Roman"/>
          <w:i/>
          <w:iCs/>
          <w:spacing w:val="3"/>
          <w:szCs w:val="28"/>
          <w:lang w:val="vi-VN"/>
        </w:rPr>
        <w:t xml:space="preserve">“Tiếp tục rà soát, đề xuất phân cấp việc thực hiện thủ tục hành chính, bảo đảm cấp bộ chỉ thực hiện không quá 30% tổng số thủ tục hành chính thuộc lĩnh vực quản lý, gửi Bộ Tư pháp trước ngày 10 tháng 4 năm 2026”. </w:t>
      </w:r>
    </w:p>
    <w:p>
      <w:pPr>
        <w:shd w:val="clear" w:color="auto" w:fill="FFFFFF"/>
        <w:spacing w:before="120" w:after="120" w:line="240" w:lineRule="auto"/>
        <w:ind w:firstLine="720"/>
        <w:jc w:val="both"/>
        <w:rPr>
          <w:rFonts w:cs="Times New Roman"/>
          <w:b/>
          <w:spacing w:val="3"/>
          <w:szCs w:val="28"/>
          <w:lang w:val="vi-VN"/>
        </w:rPr>
      </w:pPr>
      <w:r>
        <w:rPr>
          <w:rFonts w:cs="Times New Roman"/>
          <w:b/>
          <w:spacing w:val="3"/>
          <w:szCs w:val="28"/>
          <w:lang w:val="vi-VN"/>
        </w:rPr>
        <w:t xml:space="preserve">2. Cơ sở thực tiễn </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 xml:space="preserve">Qua hơn 08 năm thi hành, Luật </w:t>
      </w:r>
      <w:r>
        <w:rPr>
          <w:rFonts w:cs="Times New Roman"/>
          <w:szCs w:val="28"/>
        </w:rPr>
        <w:t xml:space="preserve">số 02/2016/QH14 </w:t>
      </w:r>
      <w:r>
        <w:rPr>
          <w:rFonts w:cs="Times New Roman"/>
          <w:spacing w:val="3"/>
          <w:szCs w:val="28"/>
          <w:lang w:val="vi-VN"/>
        </w:rPr>
        <w:t xml:space="preserve">đã góp phần quan trọng trong việc bảo đảm quyền tự do tín ngưỡng, tôn giáo của cá nhân, tổ chức, đồng thời tăng cường tính công khai, minh bạch trong hoạt động của các cơ quan nhà nước. Tuy nhiên, trước yêu cầu cấp bách của việc sắp xếp, tinh gọn bộ máy nhà nước, cải cách mạnh mẽ thủ tục, phương thức điều hành hành chính, đồng thời, đẩy mạnh việc ứng dụng khoa học công nghệ trong quản lý nhà nước, Luật </w:t>
      </w:r>
      <w:r>
        <w:rPr>
          <w:rFonts w:cs="Times New Roman"/>
          <w:szCs w:val="28"/>
        </w:rPr>
        <w:t>số 02/2016/QH14</w:t>
      </w:r>
      <w:r>
        <w:rPr>
          <w:rFonts w:cs="Times New Roman"/>
          <w:spacing w:val="3"/>
          <w:szCs w:val="28"/>
          <w:lang w:val="vi-VN"/>
        </w:rPr>
        <w:t xml:space="preserve"> đã phát sinh một số hạn chế, khó khăn, cụ thể:</w:t>
      </w:r>
    </w:p>
    <w:p>
      <w:pPr>
        <w:shd w:val="clear" w:color="auto" w:fill="FFFFFF"/>
        <w:spacing w:before="120" w:after="120" w:line="240" w:lineRule="auto"/>
        <w:ind w:firstLine="720"/>
        <w:jc w:val="both"/>
        <w:rPr>
          <w:rFonts w:cs="Times New Roman"/>
          <w:spacing w:val="3"/>
          <w:szCs w:val="28"/>
          <w:lang w:val="vi-VN"/>
        </w:rPr>
      </w:pPr>
      <w:r>
        <w:rPr>
          <w:rFonts w:cs="Times New Roman"/>
          <w:i/>
          <w:spacing w:val="3"/>
          <w:szCs w:val="28"/>
          <w:lang w:val="vi-VN"/>
        </w:rPr>
        <w:t>Thứ nhất</w:t>
      </w:r>
      <w:r>
        <w:rPr>
          <w:rFonts w:cs="Times New Roman"/>
          <w:spacing w:val="3"/>
          <w:szCs w:val="28"/>
          <w:lang w:val="vi-VN"/>
        </w:rPr>
        <w:t xml:space="preserve">, Luật </w:t>
      </w:r>
      <w:r>
        <w:rPr>
          <w:rFonts w:cs="Times New Roman"/>
          <w:szCs w:val="28"/>
        </w:rPr>
        <w:t xml:space="preserve">số 02/2016/QH14 </w:t>
      </w:r>
      <w:r>
        <w:rPr>
          <w:rFonts w:cs="Times New Roman"/>
          <w:spacing w:val="3"/>
          <w:szCs w:val="28"/>
          <w:lang w:val="vi-VN"/>
        </w:rPr>
        <w:t>chưa quy định về nguyên tắc, trách nhiệm của cơ quan, tổ chức, cá nhân khi thực hiện hoạt động tín ngưỡng, tôn giáo trên không gian mạng. Trong bối cảnh hiện nay, hoạt động tín ngưỡng, tôn giáo trên không gian mạng không chỉ là vấn đề mới mà còn là yêu cầu tất yếu trong kỷ nguyên số, cần thiết phải có quy định pháp lý đầy đủ, toàn diện về hoạt động tín ngưỡng, tôn giáo trên không gian mạng, quy định cụ thể quyền, trách nhiệm của cá nhân, tổ chức khi thực hiện hoạt động tín ngưỡng, tôn giáo trên không gian mạng; trách nhiệm của cơ quan nhà nước có thẩm quyền và trách nhiệm của doanh nghiệp viễn thông trong việc ngăn chặn các nội dung vi phạm về tín ngưỡng, tôn giáo.</w:t>
      </w:r>
    </w:p>
    <w:p>
      <w:pPr>
        <w:shd w:val="clear" w:color="auto" w:fill="FFFFFF"/>
        <w:spacing w:before="120" w:after="120" w:line="240" w:lineRule="auto"/>
        <w:ind w:firstLine="720"/>
        <w:jc w:val="both"/>
        <w:rPr>
          <w:rFonts w:cs="Times New Roman"/>
          <w:spacing w:val="3"/>
          <w:szCs w:val="28"/>
          <w:lang w:val="vi-VN"/>
        </w:rPr>
      </w:pPr>
      <w:r>
        <w:rPr>
          <w:rFonts w:cs="Times New Roman"/>
          <w:i/>
          <w:spacing w:val="3"/>
          <w:szCs w:val="28"/>
          <w:lang w:val="vi-VN"/>
        </w:rPr>
        <w:t>Thứ hai</w:t>
      </w:r>
      <w:r>
        <w:rPr>
          <w:rFonts w:cs="Times New Roman"/>
          <w:spacing w:val="3"/>
          <w:szCs w:val="28"/>
          <w:lang w:val="vi-VN"/>
        </w:rPr>
        <w:t xml:space="preserve">, để vận hành mô hình tổ chức chính quyền địa phương 02 cấp, trong bối cảnh Luật </w:t>
      </w:r>
      <w:r>
        <w:rPr>
          <w:rFonts w:cs="Times New Roman"/>
          <w:szCs w:val="28"/>
        </w:rPr>
        <w:t xml:space="preserve">số 02/2016/QH14 </w:t>
      </w:r>
      <w:r>
        <w:rPr>
          <w:rFonts w:cs="Times New Roman"/>
          <w:spacing w:val="3"/>
          <w:szCs w:val="28"/>
          <w:lang w:val="vi-VN"/>
        </w:rPr>
        <w:t xml:space="preserve">chưa được sửa đổi, Chính phủ đã ban hành Nghị định số 124/2025/NĐ-CP ngày 11/6/2025 quy định về phân quyền, phân cấp; phân định thẩm quyền của chính quyền địa phương 02 cấp trong lĩnh vực công tác dân tộc, tín ngưỡng, tôn giáo. Nghị định số 124/2025/NĐ-CP sẽ hết hiệu lực kể từ ngày 01/3/2027. Bên cạnh đó, Bộ Dân tộc và Tôn giáo được thành lập (trên cơ sở Ủy ban Dân tộc và tiếp nhận thêm chức năng, nhiệm vụ, tổ chức bộ máy quản lý nhà nước về tôn giáo từ Bộ Nội vụ) cũng cần được bổ sung vào Luật với tính chất là cơ quan được Chính phủ giao thực hiện chức năng quản lý nhà nước về tín ngưỡng, tôn giáo. </w:t>
      </w:r>
    </w:p>
    <w:p>
      <w:pPr>
        <w:shd w:val="clear" w:color="auto" w:fill="FFFFFF"/>
        <w:spacing w:before="120" w:after="120" w:line="240" w:lineRule="auto"/>
        <w:ind w:firstLine="720"/>
        <w:jc w:val="both"/>
        <w:rPr>
          <w:rFonts w:cs="Times New Roman"/>
          <w:spacing w:val="3"/>
          <w:szCs w:val="28"/>
          <w:lang w:val="vi-VN"/>
        </w:rPr>
      </w:pPr>
      <w:r>
        <w:rPr>
          <w:rFonts w:cs="Times New Roman"/>
          <w:i/>
          <w:spacing w:val="3"/>
          <w:szCs w:val="28"/>
          <w:lang w:val="vi-VN"/>
        </w:rPr>
        <w:t>Thứ ba</w:t>
      </w:r>
      <w:r>
        <w:rPr>
          <w:rFonts w:cs="Times New Roman"/>
          <w:spacing w:val="3"/>
          <w:szCs w:val="28"/>
          <w:lang w:val="vi-VN"/>
        </w:rPr>
        <w:t xml:space="preserve">, thực tiễn công tác quản lý nhà nước về tín ngưỡng, tôn giáo thời gian qua gặp những khó khăn, vướng mắc do một số vấn đề chưa có quy định </w:t>
      </w:r>
      <w:r>
        <w:rPr>
          <w:rFonts w:cs="Times New Roman"/>
          <w:spacing w:val="3"/>
          <w:szCs w:val="28"/>
          <w:lang w:val="vi-VN"/>
        </w:rPr>
        <w:lastRenderedPageBreak/>
        <w:t>của pháp luật điều chỉnh hoặc điều chỉnh chưa rõ ràng, một số hoạt động tín ngưỡng, tôn giáo chưa có biện pháp quản lý như: (i) nhiều địa điểm, cơ sở của cá nhân hoặc do doanh nghiệp đầu tư xây dựng có tổ chức hoạt động tín ngưỡng và người thực hiện các hoạt động này đã thực hiện việc đăng ký hoạt động tín ngưỡng với cơ quan nhà nước có thẩm quyền; (ii) về quản lý nhà nước đối với sinh hoạt tôn giáo tập trung của người nước ngoài trong các khu đô thị, công nghiệp, khu kinh tế,... (iii) về đăng ký người được bổ nhiệm, bầu cử, suy cử làm chức việc để tạo thuận lợi cho tất cả các tổ chức tôn giáo, t</w:t>
      </w:r>
      <w:r>
        <w:rPr>
          <w:rFonts w:cs="Times New Roman"/>
          <w:spacing w:val="3"/>
          <w:szCs w:val="28"/>
          <w:lang w:val="en-US"/>
        </w:rPr>
        <w:t>ổ</w:t>
      </w:r>
      <w:r>
        <w:rPr>
          <w:rFonts w:cs="Times New Roman"/>
          <w:spacing w:val="3"/>
          <w:szCs w:val="28"/>
          <w:lang w:val="vi-VN"/>
        </w:rPr>
        <w:t xml:space="preserve"> chức tôn giáo trực thuộc, tổ chức được cấp chứng nhận đăng ký hoạt động tôn giáo; cần thiết phải bổ sung biện pháp quản lý nhà nước trong lĩnh vực tín ngưỡng, tôn giáo. </w:t>
      </w:r>
    </w:p>
    <w:p>
      <w:pPr>
        <w:shd w:val="clear" w:color="auto" w:fill="FFFFFF"/>
        <w:spacing w:before="120" w:after="120" w:line="240" w:lineRule="auto"/>
        <w:ind w:firstLine="720"/>
        <w:jc w:val="both"/>
        <w:rPr>
          <w:rFonts w:cs="Times New Roman"/>
          <w:spacing w:val="3"/>
          <w:szCs w:val="28"/>
          <w:lang w:val="en-US"/>
        </w:rPr>
      </w:pPr>
      <w:r>
        <w:rPr>
          <w:rFonts w:cs="Times New Roman"/>
          <w:i/>
          <w:spacing w:val="3"/>
          <w:szCs w:val="28"/>
          <w:lang w:val="vi-VN"/>
        </w:rPr>
        <w:t>Thứ tư</w:t>
      </w:r>
      <w:r>
        <w:rPr>
          <w:rFonts w:cs="Times New Roman"/>
          <w:spacing w:val="3"/>
          <w:szCs w:val="28"/>
          <w:lang w:val="vi-VN"/>
        </w:rPr>
        <w:t xml:space="preserve">, yêu cầu về cải cách hành chính, cắt giảm, đơn giản hóa thủ tục hành chính, rút ngắn thời gian xử lý và đẩy mạnh ứng dụng công nghệ thông tin trong giải quyết thủ tục hành chính là cần thiết. </w:t>
      </w:r>
    </w:p>
    <w:p>
      <w:pPr>
        <w:spacing w:before="120" w:after="120" w:line="240" w:lineRule="auto"/>
        <w:ind w:firstLine="720"/>
        <w:jc w:val="both"/>
        <w:rPr>
          <w:rFonts w:cs="Times New Roman"/>
          <w:b/>
          <w:szCs w:val="28"/>
          <w:lang w:val="it-IT"/>
        </w:rPr>
      </w:pPr>
      <w:r>
        <w:rPr>
          <w:rFonts w:cs="Times New Roman"/>
          <w:b/>
          <w:szCs w:val="28"/>
          <w:lang w:val="sq-AL"/>
        </w:rPr>
        <w:t xml:space="preserve">II. MỤC ĐÍCH, QUAN ĐIỂM CHỈ ĐẠO XÂY DỰNG </w:t>
      </w:r>
      <w:r>
        <w:rPr>
          <w:rFonts w:cs="Times New Roman"/>
          <w:b/>
          <w:szCs w:val="28"/>
          <w:lang w:val="it-IT"/>
        </w:rPr>
        <w:t>LUẬT TÍN NGƯỠNG, TÔN GIÁO</w:t>
      </w:r>
    </w:p>
    <w:p>
      <w:pPr>
        <w:spacing w:before="120" w:after="120" w:line="240" w:lineRule="auto"/>
        <w:ind w:firstLine="720"/>
        <w:jc w:val="both"/>
        <w:rPr>
          <w:rFonts w:cs="Times New Roman"/>
          <w:b/>
          <w:szCs w:val="28"/>
          <w:lang w:val="it-IT"/>
        </w:rPr>
      </w:pPr>
      <w:r>
        <w:rPr>
          <w:rFonts w:cs="Times New Roman"/>
          <w:b/>
          <w:szCs w:val="28"/>
          <w:lang w:val="it-IT"/>
        </w:rPr>
        <w:t>1. Mục đích xây dựng Luật</w:t>
      </w:r>
    </w:p>
    <w:p>
      <w:pPr>
        <w:spacing w:before="120" w:after="120" w:line="240" w:lineRule="auto"/>
        <w:ind w:firstLine="720"/>
        <w:jc w:val="both"/>
        <w:rPr>
          <w:rFonts w:cs="Times New Roman"/>
          <w:b/>
          <w:szCs w:val="28"/>
          <w:lang w:val="it-IT"/>
        </w:rPr>
      </w:pPr>
      <w:r>
        <w:rPr>
          <w:rFonts w:eastAsia="Times New Roman" w:cs="Times New Roman"/>
          <w:spacing w:val="3"/>
          <w:szCs w:val="28"/>
          <w:lang w:val="vi-VN"/>
        </w:rPr>
        <w:t xml:space="preserve">Việc ban hành Luật thay thế Luật </w:t>
      </w:r>
      <w:r>
        <w:rPr>
          <w:rFonts w:cs="Times New Roman"/>
          <w:szCs w:val="28"/>
        </w:rPr>
        <w:t xml:space="preserve">số 02/2016/QH14 </w:t>
      </w:r>
      <w:r>
        <w:rPr>
          <w:rFonts w:eastAsia="Times New Roman" w:cs="Times New Roman"/>
          <w:spacing w:val="3"/>
          <w:szCs w:val="28"/>
          <w:lang w:val="vi-VN"/>
        </w:rPr>
        <w:t xml:space="preserve">nhằm: (1) Khắc phục những hạn chế, bất cập trong quá trình tổ chức thực hiện Luật </w:t>
      </w:r>
      <w:r>
        <w:rPr>
          <w:rFonts w:cs="Times New Roman"/>
          <w:szCs w:val="28"/>
        </w:rPr>
        <w:t xml:space="preserve">số 02/2016/QH14 </w:t>
      </w:r>
      <w:r>
        <w:rPr>
          <w:rFonts w:eastAsia="Times New Roman" w:cs="Times New Roman"/>
          <w:spacing w:val="3"/>
          <w:szCs w:val="28"/>
          <w:lang w:val="vi-VN"/>
        </w:rPr>
        <w:t xml:space="preserve">trong thời gian qua, đồng thời kế thừa các quy định còn phù hợp của Luật </w:t>
      </w:r>
      <w:r>
        <w:rPr>
          <w:rFonts w:cs="Times New Roman"/>
          <w:szCs w:val="28"/>
        </w:rPr>
        <w:t>số 02/2016/QH14</w:t>
      </w:r>
      <w:r>
        <w:rPr>
          <w:rFonts w:eastAsia="Times New Roman" w:cs="Times New Roman"/>
          <w:spacing w:val="3"/>
          <w:szCs w:val="28"/>
          <w:lang w:val="vi-VN"/>
        </w:rPr>
        <w:t xml:space="preserve">, tạo điều kiện thuận lợi hơn cho cá nhân, tổ chức thực hiện quyền tự do tín ngưỡng, tôn giáo; (2) Hoàn thiện các quy định của Luật </w:t>
      </w:r>
      <w:r>
        <w:rPr>
          <w:rFonts w:cs="Times New Roman"/>
          <w:szCs w:val="28"/>
        </w:rPr>
        <w:t xml:space="preserve">số 02/2016/QH14 </w:t>
      </w:r>
      <w:r>
        <w:rPr>
          <w:rFonts w:eastAsia="Times New Roman" w:cs="Times New Roman"/>
          <w:spacing w:val="3"/>
          <w:szCs w:val="28"/>
          <w:lang w:val="vi-VN"/>
        </w:rPr>
        <w:t xml:space="preserve">do tác động bởi chủ trương sắp xếp, tổ chức bộ máy, bảo đảm hệ thống các cơ quan, người có thẩm quyền hoạt động liên tục, thông suốt, không bị gián đoạn; (3) Tiếp tục thực hiện phân quyền, phân cấp trong lĩnh vực tín ngưỡng, tôn giáo; tăng cường ứng dụng công nghệ thông tin, chuyển đổi số và đơn giản hóa thủ tục hành chính trong lĩnh vực tín ngưỡng, tôn giáo. Góp phần tạo thuận lợi cho cá nhân, tổ chức, nâng cao hiệu lực, hiệu quả quản lý nhà nước, bảo đảm phù hợp với chủ trương tổ chức bộ máy quản lý nhà nước thời gian qua và trong giai đoạn sắp tới. </w:t>
      </w:r>
    </w:p>
    <w:p>
      <w:pPr>
        <w:shd w:val="clear" w:color="auto" w:fill="FFFFFF"/>
        <w:spacing w:before="120" w:after="120" w:line="240" w:lineRule="auto"/>
        <w:ind w:firstLine="720"/>
        <w:jc w:val="both"/>
        <w:rPr>
          <w:rFonts w:cs="Times New Roman"/>
          <w:b/>
          <w:spacing w:val="3"/>
          <w:szCs w:val="28"/>
          <w:lang w:val="vi-VN"/>
        </w:rPr>
      </w:pPr>
      <w:r>
        <w:rPr>
          <w:rFonts w:cs="Times New Roman"/>
          <w:b/>
          <w:spacing w:val="3"/>
          <w:szCs w:val="28"/>
          <w:lang w:val="en-US"/>
        </w:rPr>
        <w:t>2</w:t>
      </w:r>
      <w:r>
        <w:rPr>
          <w:rFonts w:cs="Times New Roman"/>
          <w:b/>
          <w:spacing w:val="3"/>
          <w:szCs w:val="28"/>
          <w:lang w:val="vi-VN"/>
        </w:rPr>
        <w:t>. Quan điểm xây dựng Luật</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 xml:space="preserve">a) Bám sát và tiếp tục thể chế hóa đầy đủ chủ trương, đường lối của Đảng về phát huy rộng rãi dân chủ xã hội chủ nghĩa, quyền làm chủ của Nhân dân, bảo đảm quyền tự do tín ngưỡng, tôn giáo; thúc đẩy công khai, minh bạch trong hoạt động của cơ quan nhà nước, góp phần phòng, chống tham nhũng, tiêu cực, lãng phí; bảo đảm sự lãnh đạo, chỉ đạo tập trung, thống nhất, chặt chẽ, toàn diện của Đảng trong quá trình xây dựng Luật; tiếp tục thực hiện chủ trương </w:t>
      </w:r>
      <w:r>
        <w:rPr>
          <w:rFonts w:cs="Times New Roman"/>
          <w:i/>
          <w:iCs/>
          <w:spacing w:val="3"/>
          <w:szCs w:val="28"/>
          <w:lang w:val="vi-VN"/>
        </w:rPr>
        <w:t xml:space="preserve">“Luật chỉ quy định các vấn đề mang tính ốn định, có giá trị lâu dài; quy định cụ thể các nội dung liên quan đến quyền con người, quyền, nghĩa vụ của công dân”. </w:t>
      </w:r>
    </w:p>
    <w:p>
      <w:pPr>
        <w:shd w:val="clear" w:color="auto" w:fill="FFFFFF"/>
        <w:spacing w:before="120" w:after="120" w:line="240" w:lineRule="auto"/>
        <w:ind w:firstLine="720"/>
        <w:jc w:val="both"/>
        <w:rPr>
          <w:rFonts w:cs="Times New Roman"/>
          <w:spacing w:val="3"/>
          <w:szCs w:val="28"/>
          <w:lang w:val="vi-VN"/>
        </w:rPr>
      </w:pPr>
      <w:r>
        <w:rPr>
          <w:rFonts w:cs="Times New Roman"/>
          <w:spacing w:val="3"/>
          <w:szCs w:val="28"/>
          <w:lang w:val="vi-VN"/>
        </w:rPr>
        <w:t>b) Bảo đảm tính hợp hiến, hợp pháp, tính thống nhất của hệ thống pháp luật; tuân thủ đúng quy trình soạn thảo Luật theo quy định của Luật Ban hành văn bản quy phạm pháp luật năm 2025 và các văn bản hướng dân thi hành.</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lastRenderedPageBreak/>
        <w:t xml:space="preserve">c) Bảo đảm tính tương thích với các điều ước quốc tế có liên quan mà Việt Nam là thành viên; tham khảo, nghiên cứu học hỏi có chọn lọc các kinh nghiệm phù hợp của pháp luật nước ngoài về tín ngưỡng, tôn giáo, bảo đảm tính khả thi của Luật trong điều kiện kinh tế - xã hội Việt Nam hiện nay. </w:t>
      </w:r>
    </w:p>
    <w:p>
      <w:pPr>
        <w:spacing w:before="120" w:after="120" w:line="240" w:lineRule="auto"/>
        <w:ind w:firstLine="720"/>
        <w:jc w:val="both"/>
        <w:rPr>
          <w:rFonts w:cs="Times New Roman"/>
          <w:b/>
          <w:bCs/>
          <w:szCs w:val="28"/>
          <w:lang w:val="it-IT"/>
        </w:rPr>
      </w:pPr>
      <w:r>
        <w:rPr>
          <w:rFonts w:cs="Times New Roman"/>
          <w:b/>
          <w:bCs/>
          <w:szCs w:val="28"/>
          <w:lang w:val="it-IT"/>
        </w:rPr>
        <w:t>PHẦN II. GIỚI THIỆU VĂN BẢN</w:t>
      </w:r>
    </w:p>
    <w:p>
      <w:pPr>
        <w:spacing w:before="120" w:after="120" w:line="240" w:lineRule="auto"/>
        <w:ind w:firstLine="720"/>
        <w:jc w:val="both"/>
        <w:rPr>
          <w:rFonts w:cs="Times New Roman"/>
          <w:b/>
          <w:szCs w:val="28"/>
          <w:lang w:val="sq-AL"/>
        </w:rPr>
      </w:pPr>
      <w:r>
        <w:rPr>
          <w:rFonts w:cs="Times New Roman"/>
          <w:b/>
          <w:szCs w:val="28"/>
          <w:lang w:val="sq-AL"/>
        </w:rPr>
        <w:t>I</w:t>
      </w:r>
      <w:bookmarkStart w:id="0" w:name="chuong_1"/>
      <w:r>
        <w:rPr>
          <w:rFonts w:cs="Times New Roman"/>
          <w:b/>
          <w:szCs w:val="28"/>
          <w:lang w:val="sq-AL"/>
        </w:rPr>
        <w:t>. BỐ CỤC</w:t>
      </w:r>
    </w:p>
    <w:p>
      <w:pPr>
        <w:adjustRightInd w:val="0"/>
        <w:snapToGrid w:val="0"/>
        <w:spacing w:before="120" w:after="120" w:line="240" w:lineRule="auto"/>
        <w:ind w:firstLine="720"/>
        <w:jc w:val="both"/>
        <w:rPr>
          <w:rFonts w:cs="Times New Roman"/>
          <w:i/>
          <w:iCs/>
          <w:szCs w:val="28"/>
          <w:lang w:val="it-IT"/>
        </w:rPr>
      </w:pPr>
      <w:r>
        <w:rPr>
          <w:rFonts w:eastAsia="Times New Roman" w:cs="Times New Roman"/>
          <w:szCs w:val="28"/>
          <w:lang w:val="sq-AL"/>
        </w:rPr>
        <w:t>Luật</w:t>
      </w:r>
      <w:r>
        <w:rPr>
          <w:rFonts w:cs="Times New Roman"/>
          <w:i/>
          <w:iCs/>
          <w:szCs w:val="28"/>
          <w:lang w:val="it-IT"/>
        </w:rPr>
        <w:t xml:space="preserve"> </w:t>
      </w:r>
      <w:r>
        <w:rPr>
          <w:rFonts w:cs="Times New Roman"/>
          <w:iCs/>
          <w:szCs w:val="28"/>
          <w:lang w:val="it-IT"/>
        </w:rPr>
        <w:t>số 07/2026/QH16</w:t>
      </w:r>
      <w:r>
        <w:rPr>
          <w:rFonts w:cs="Times New Roman"/>
          <w:i/>
          <w:iCs/>
          <w:szCs w:val="28"/>
          <w:lang w:val="it-IT"/>
        </w:rPr>
        <w:t xml:space="preserve"> </w:t>
      </w:r>
      <w:r>
        <w:rPr>
          <w:rFonts w:eastAsia="Times New Roman" w:cs="Times New Roman"/>
          <w:szCs w:val="28"/>
          <w:lang w:val="sq-AL"/>
        </w:rPr>
        <w:t>gồm 09 chương với 61 điều, quy định về</w:t>
      </w:r>
      <w:r>
        <w:rPr>
          <w:rFonts w:cs="Times New Roman"/>
          <w:szCs w:val="28"/>
        </w:rPr>
        <w:t xml:space="preserve"> quyền tự do tín ngưỡng, tôn giáo; hoạt động tín ngưỡng, tôn giáo; tổ chức tôn giáo; quyền và nghĩa vụ của cơ quan, tổ chức, cộng đồng dân cư, cá nhân có liên quan đến hoạt động tín ngưỡng, tôn giáo</w:t>
      </w:r>
      <w:r>
        <w:rPr>
          <w:rFonts w:eastAsia="Times New Roman" w:cs="Times New Roman"/>
          <w:szCs w:val="28"/>
          <w:lang w:val="sq-AL"/>
        </w:rPr>
        <w:t>, cụ thể như sau:</w:t>
      </w:r>
    </w:p>
    <w:p>
      <w:pPr>
        <w:spacing w:before="120" w:after="120" w:line="240" w:lineRule="auto"/>
        <w:ind w:firstLine="720"/>
        <w:jc w:val="both"/>
        <w:rPr>
          <w:rFonts w:cs="Times New Roman"/>
          <w:b/>
          <w:szCs w:val="28"/>
          <w:lang w:val="sq-AL"/>
        </w:rPr>
      </w:pPr>
      <w:r>
        <w:rPr>
          <w:rFonts w:cs="Times New Roman"/>
          <w:b/>
          <w:szCs w:val="28"/>
          <w:lang w:val="sq-AL"/>
        </w:rPr>
        <w:t>Chương I. Những quy định chung</w:t>
      </w:r>
    </w:p>
    <w:p>
      <w:pPr>
        <w:spacing w:before="120" w:after="120" w:line="240" w:lineRule="auto"/>
        <w:ind w:firstLine="720"/>
        <w:jc w:val="both"/>
        <w:rPr>
          <w:rFonts w:cs="Times New Roman"/>
          <w:b/>
          <w:spacing w:val="2"/>
          <w:szCs w:val="28"/>
          <w:lang w:val="sq-AL"/>
        </w:rPr>
      </w:pPr>
      <w:r>
        <w:rPr>
          <w:rFonts w:eastAsia="Times New Roman" w:cs="Times New Roman"/>
          <w:spacing w:val="2"/>
          <w:szCs w:val="28"/>
          <w:lang w:val="vi-VN"/>
        </w:rPr>
        <w:t xml:space="preserve">- </w:t>
      </w:r>
      <w:r>
        <w:rPr>
          <w:rFonts w:eastAsia="Calibri" w:cs="Times New Roman"/>
          <w:bCs/>
          <w:iCs/>
          <w:noProof/>
          <w:spacing w:val="2"/>
          <w:szCs w:val="28"/>
          <w:lang w:val="eu-ES"/>
        </w:rPr>
        <w:t xml:space="preserve">Gồm </w:t>
      </w:r>
      <w:r>
        <w:rPr>
          <w:rFonts w:eastAsia="Times New Roman" w:cs="Times New Roman"/>
          <w:spacing w:val="2"/>
          <w:szCs w:val="28"/>
          <w:lang w:val="vi-VN"/>
        </w:rPr>
        <w:t>08 điều (từ Điều 1 đến Điều 8) quy định về phạm vi điều chỉnh, đối tượng áp dụng; giải thích từ ngữ; nguyên tắc hoạt động tín ngưỡng, tôn giáo; trách nhiệm của Nhà nước trong việc bảo đảm thực hiện quyền tự do tín ngưỡng, tôn giáo; hợp tác quốc tế trong công tác tín ngưỡng, tôn giáo; trách nhiệm của Mặt trận Tổ quốc Việt Nam, các tổ chức chính trị - xã hội; các hành vi bị nghiêm cấm</w:t>
      </w:r>
      <w:r>
        <w:rPr>
          <w:rFonts w:eastAsia="Times New Roman" w:cs="Times New Roman"/>
          <w:spacing w:val="2"/>
          <w:szCs w:val="28"/>
          <w:lang w:val="en-US"/>
        </w:rPr>
        <w:t>;</w:t>
      </w:r>
      <w:r>
        <w:rPr>
          <w:rFonts w:eastAsia="Times New Roman" w:cs="Times New Roman"/>
          <w:spacing w:val="2"/>
          <w:szCs w:val="28"/>
          <w:lang w:val="vi-VN"/>
        </w:rPr>
        <w:t xml:space="preserve"> hoạt động tín ngưỡng, tôn giáo trên không gian mạng.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vi-VN"/>
        </w:rPr>
        <w:t>- Chương II. Quyền tự do tín ngưỡng, tôn giáo, gồm 05 điều (từ Điều 9 đến Điều 13) quy định về quyền tự do tín ngưỡng, tôn giáo của mọi người; quyền tự do tín ngưỡng, tôn giáo của người nước ngoài cư trú hợp pháp tại Việt Nam; quyền của tổ chức tôn giáo, tổ chức tôn giáo trực thuộc; quyền của tổ chức được cấp chứng nhận đăng ký hoạt động tôn giáo</w:t>
      </w:r>
      <w:r>
        <w:rPr>
          <w:rFonts w:eastAsia="Times New Roman" w:cs="Times New Roman"/>
          <w:szCs w:val="28"/>
          <w:lang w:val="en-US"/>
        </w:rPr>
        <w:t>;</w:t>
      </w:r>
      <w:r>
        <w:rPr>
          <w:rFonts w:eastAsia="Times New Roman" w:cs="Times New Roman"/>
          <w:szCs w:val="28"/>
          <w:lang w:val="vi-VN"/>
        </w:rPr>
        <w:t xml:space="preserve"> nghĩa vụ của tổ chức, cộng đồng dân cư, cá nhân trong thực hiện quyền tự do tín ngưỡng, tôn giáo. </w:t>
      </w:r>
    </w:p>
    <w:p>
      <w:pPr>
        <w:shd w:val="clear" w:color="auto" w:fill="FFFFFF"/>
        <w:spacing w:before="120" w:after="120" w:line="240" w:lineRule="auto"/>
        <w:ind w:firstLine="720"/>
        <w:jc w:val="both"/>
        <w:rPr>
          <w:rFonts w:eastAsia="Times New Roman" w:cs="Times New Roman"/>
          <w:spacing w:val="4"/>
          <w:szCs w:val="28"/>
          <w:lang w:val="vi-VN"/>
        </w:rPr>
      </w:pPr>
      <w:r>
        <w:rPr>
          <w:rFonts w:eastAsia="Times New Roman" w:cs="Times New Roman"/>
          <w:spacing w:val="4"/>
          <w:szCs w:val="28"/>
          <w:lang w:val="vi-VN"/>
        </w:rPr>
        <w:t xml:space="preserve">- Chương III. Hoạt động tín ngưỡng, gồm 05 điều (từ Điều 14 đến Điều 18) quy định về người đại diện, ban quản lý cơ sở tín ngưỡng; thông báo, đăng </w:t>
      </w:r>
      <w:r>
        <w:rPr>
          <w:rFonts w:eastAsia="Times New Roman" w:cs="Times New Roman"/>
          <w:szCs w:val="28"/>
          <w:lang w:val="vi-VN"/>
        </w:rPr>
        <w:t>ký hoạt động tín ngưỡng; tổ chức lễ hội tín ngưỡng định kỳ; tổ chức lễ hội tín ngưỡng lần đầu, lễ hội tín ngưỡng được khôi phục hoặc lễ hội tín ngưỡng định kỳ nhưng có thay đổi</w:t>
      </w:r>
      <w:r>
        <w:rPr>
          <w:rFonts w:eastAsia="Times New Roman" w:cs="Times New Roman"/>
          <w:szCs w:val="28"/>
          <w:lang w:val="en-US"/>
        </w:rPr>
        <w:t>;</w:t>
      </w:r>
      <w:r>
        <w:rPr>
          <w:rFonts w:eastAsia="Times New Roman" w:cs="Times New Roman"/>
          <w:szCs w:val="28"/>
          <w:lang w:val="vi-VN"/>
        </w:rPr>
        <w:t xml:space="preserve"> quản lý, sử dụng khoản thu từ việc tổ chức lễ hội tín ngưỡng.</w:t>
      </w:r>
      <w:r>
        <w:rPr>
          <w:rFonts w:eastAsia="Times New Roman" w:cs="Times New Roman"/>
          <w:spacing w:val="4"/>
          <w:szCs w:val="28"/>
          <w:lang w:val="vi-VN"/>
        </w:rPr>
        <w:t xml:space="preserve">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Chương IV. Đăng ký sinh hoạt tôn giáo tập trung, đăng ký hoạt động tôn giáo, gồm 02 điều (Điều 19 và Điều 20) quy định về điều kiện, thẩm quyền chấp thuận, thu hồi văn bản chấp thuận đăng ký sinh hoạt tôn giáo tập trung; điều kiện, thẩm quyền chấp thuận, thu hồi văn bản chứng nhận đăng ký hoạt động tôn giáo. </w:t>
      </w:r>
    </w:p>
    <w:p>
      <w:pPr>
        <w:shd w:val="clear" w:color="auto" w:fill="FFFFFF"/>
        <w:spacing w:before="120" w:after="120" w:line="240" w:lineRule="auto"/>
        <w:ind w:firstLine="720"/>
        <w:jc w:val="both"/>
        <w:rPr>
          <w:rFonts w:eastAsia="Times New Roman" w:cs="Times New Roman"/>
          <w:spacing w:val="3"/>
          <w:szCs w:val="28"/>
          <w:lang w:val="en-US"/>
        </w:rPr>
      </w:pPr>
      <w:r>
        <w:rPr>
          <w:rFonts w:eastAsia="Times New Roman" w:cs="Times New Roman"/>
          <w:spacing w:val="3"/>
          <w:szCs w:val="28"/>
          <w:lang w:val="vi-VN"/>
        </w:rPr>
        <w:t xml:space="preserve">- Chương V. Tổ chức tôn giáo, gồm 18 điều (từ Điều 21 đến Điều 38) quy định về công nhận, giải thể tổ chức tôn giáo; thành lập, chia, tách, sáp nhập, hợp nhất, giải thể tổ chức tôn giáo trực thuộc; phong phẩm, bổ nhiệm, bầu cử, suy cử, thuyên chuyển, cách chức, bãi nhiệm, đình chỉ chức sắc, chức việc, nhà tu hành; cơ sở đào tạo tôn giáo, lớp bồi dưỡng về tôn giáo. </w:t>
      </w:r>
    </w:p>
    <w:p>
      <w:pPr>
        <w:shd w:val="clear" w:color="auto" w:fill="FFFFFF"/>
        <w:spacing w:before="120" w:after="120" w:line="240" w:lineRule="auto"/>
        <w:ind w:firstLine="720"/>
        <w:jc w:val="both"/>
        <w:rPr>
          <w:rFonts w:eastAsia="Times New Roman" w:cs="Times New Roman"/>
          <w:spacing w:val="3"/>
          <w:szCs w:val="28"/>
          <w:lang w:val="en-US"/>
        </w:rPr>
      </w:pPr>
      <w:r>
        <w:rPr>
          <w:rFonts w:eastAsia="Times New Roman" w:cs="Times New Roman"/>
          <w:spacing w:val="3"/>
          <w:szCs w:val="28"/>
          <w:lang w:val="vi-VN"/>
        </w:rPr>
        <w:t xml:space="preserve">- Chương VI. Hoạt động tôn giáo; hoạt động xuất bản, giáo dục, y tế, bảo trợ xã hội, từ thiện, nhân đạo của tổ chức tôn giáo, gồm 13 điều (từ Điều 39 đến Điều 51) quy định về hoạt động tôn giáo; hoạt động tôn giáo </w:t>
      </w:r>
      <w:r>
        <w:rPr>
          <w:rFonts w:eastAsia="Times New Roman" w:cs="Times New Roman"/>
          <w:spacing w:val="3"/>
          <w:szCs w:val="28"/>
          <w:lang w:val="en-US"/>
        </w:rPr>
        <w:t xml:space="preserve">có yếu tố nước </w:t>
      </w:r>
      <w:r>
        <w:rPr>
          <w:rFonts w:eastAsia="Times New Roman" w:cs="Times New Roman"/>
          <w:spacing w:val="3"/>
          <w:szCs w:val="28"/>
          <w:lang w:val="en-US"/>
        </w:rPr>
        <w:lastRenderedPageBreak/>
        <w:t xml:space="preserve">ngoài; </w:t>
      </w:r>
      <w:r>
        <w:rPr>
          <w:rFonts w:eastAsia="Times New Roman" w:cs="Times New Roman"/>
          <w:spacing w:val="3"/>
          <w:szCs w:val="28"/>
          <w:lang w:val="vi-VN"/>
        </w:rPr>
        <w:t xml:space="preserve">hoạt động </w:t>
      </w:r>
      <w:r>
        <w:rPr>
          <w:rFonts w:eastAsia="Times New Roman" w:cs="Times New Roman"/>
          <w:spacing w:val="3"/>
          <w:szCs w:val="28"/>
          <w:lang w:val="en-US"/>
        </w:rPr>
        <w:t xml:space="preserve">trong lĩnh vực </w:t>
      </w:r>
      <w:r>
        <w:rPr>
          <w:rFonts w:eastAsia="Times New Roman" w:cs="Times New Roman"/>
          <w:spacing w:val="3"/>
          <w:szCs w:val="28"/>
          <w:lang w:val="vi-VN"/>
        </w:rPr>
        <w:t>xuất bản, giáo dục, y tế, bảo trợ xã hội, từ thiện, nhân đạo</w:t>
      </w:r>
      <w:r>
        <w:rPr>
          <w:rFonts w:eastAsia="Times New Roman" w:cs="Times New Roman"/>
          <w:spacing w:val="3"/>
          <w:szCs w:val="28"/>
          <w:lang w:val="en-US"/>
        </w:rPr>
        <w:t>.</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vi-VN"/>
        </w:rPr>
        <w:t xml:space="preserve">- Chương VII. Tài sản thuộc cơ sở tín ngưỡng, tổ chức tôn giáo, gồm 04 điều (từ Điều 52 đến Điều 55) quy định về quản lý, sử dụng tài sản thuộc cơ sở tín ngưỡng, tổ chức tôn giáo; đất tín ngưỡng, đất tôn giáo; cải tạo, nâng cấp, bảo quản, tu bổ, phục hồi, xây dựng mới công trình tín ngưỡng, công trình tôn giáo, công trình phụ trợ; di dời công trình tín ngưỡng, công trình tôn giáo. </w:t>
      </w:r>
    </w:p>
    <w:p>
      <w:pPr>
        <w:shd w:val="clear" w:color="auto" w:fill="FFFFFF"/>
        <w:spacing w:before="120" w:after="120" w:line="240" w:lineRule="auto"/>
        <w:ind w:firstLine="720"/>
        <w:jc w:val="both"/>
        <w:rPr>
          <w:rFonts w:eastAsia="Times New Roman" w:cs="Times New Roman"/>
          <w:spacing w:val="-2"/>
          <w:szCs w:val="28"/>
          <w:lang w:val="vi-VN"/>
        </w:rPr>
      </w:pPr>
      <w:r>
        <w:rPr>
          <w:rFonts w:eastAsia="Times New Roman" w:cs="Times New Roman"/>
          <w:spacing w:val="-2"/>
          <w:szCs w:val="28"/>
          <w:lang w:val="vi-VN"/>
        </w:rPr>
        <w:t>- Chương VIII. Quản lý nhà nước về tín ngưỡng, tôn giáo, gồm 04 điều (từ Điều 56 đến Điều 59) quy định về nội dung quản lý nhà nước về tín ngưỡng, tôn giáo; thẩm quyền quản lý nhà nước về tín ngưỡng, tôn giáo; kiểm tra chuyên ngành về tín ngưỡng, tôn giáo</w:t>
      </w:r>
      <w:r>
        <w:rPr>
          <w:rFonts w:eastAsia="Times New Roman" w:cs="Times New Roman"/>
          <w:spacing w:val="-2"/>
          <w:szCs w:val="28"/>
          <w:lang w:val="en-US"/>
        </w:rPr>
        <w:t>;</w:t>
      </w:r>
      <w:r>
        <w:rPr>
          <w:rFonts w:eastAsia="Times New Roman" w:cs="Times New Roman"/>
          <w:spacing w:val="-2"/>
          <w:szCs w:val="28"/>
          <w:lang w:val="vi-VN"/>
        </w:rPr>
        <w:t xml:space="preserve"> khiếu nại, tố cáo, khởi kiện về tín ngưỡng, tôn giáo.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Chương IX. Điều khoản thi hành, gồm 02 điều (từ Điều 60 đến Điều 61) quy định về hiệu lực thi hành từ ngày 01/01/2027; giao Chính phủ quy định chi tiết 34 điều của Luật và quy định các biện pháp để tổ chức; hướng dẫn thi hành Luật; quy định về điều khoản chuyển tiếp. </w:t>
      </w:r>
    </w:p>
    <w:bookmarkEnd w:id="0"/>
    <w:p>
      <w:pPr>
        <w:pStyle w:val="Heading1"/>
        <w:spacing w:before="120" w:after="120" w:line="240" w:lineRule="auto"/>
        <w:ind w:firstLine="720"/>
        <w:jc w:val="both"/>
        <w:rPr>
          <w:rFonts w:ascii="Times New Roman" w:eastAsia="Times New Roman" w:hAnsi="Times New Roman" w:cs="Times New Roman"/>
          <w:b/>
          <w:bCs/>
          <w:color w:val="auto"/>
          <w:sz w:val="28"/>
          <w:szCs w:val="28"/>
          <w:lang w:val="sq-AL"/>
        </w:rPr>
      </w:pPr>
      <w:r>
        <w:rPr>
          <w:rFonts w:ascii="Times New Roman" w:hAnsi="Times New Roman" w:cs="Times New Roman"/>
          <w:b/>
          <w:color w:val="auto"/>
          <w:sz w:val="28"/>
          <w:szCs w:val="28"/>
          <w:shd w:val="clear" w:color="auto" w:fill="FFFFFF"/>
          <w:lang w:val="sq-AL"/>
        </w:rPr>
        <w:t xml:space="preserve">II. </w:t>
      </w:r>
      <w:bookmarkStart w:id="1" w:name="dieu_49"/>
      <w:r>
        <w:rPr>
          <w:rFonts w:ascii="Times New Roman" w:hAnsi="Times New Roman" w:cs="Times New Roman"/>
          <w:b/>
          <w:color w:val="auto"/>
          <w:sz w:val="28"/>
          <w:szCs w:val="28"/>
          <w:shd w:val="clear" w:color="auto" w:fill="FFFFFF"/>
          <w:lang w:val="sq-AL"/>
        </w:rPr>
        <w:t xml:space="preserve">NHỮNG </w:t>
      </w:r>
      <w:r>
        <w:rPr>
          <w:rFonts w:ascii="Times New Roman" w:eastAsia="Times New Roman" w:hAnsi="Times New Roman" w:cs="Times New Roman"/>
          <w:b/>
          <w:bCs/>
          <w:color w:val="auto"/>
          <w:sz w:val="28"/>
          <w:szCs w:val="28"/>
          <w:lang w:val="sq-AL"/>
        </w:rPr>
        <w:t>NỘI DUNG MỚI, CƠ BẢN CỦA LUẬT</w:t>
      </w:r>
    </w:p>
    <w:p>
      <w:pPr>
        <w:shd w:val="clear" w:color="auto" w:fill="FFFFFF"/>
        <w:spacing w:before="120" w:after="120" w:line="240" w:lineRule="auto"/>
        <w:ind w:firstLine="720"/>
        <w:jc w:val="both"/>
        <w:rPr>
          <w:rFonts w:eastAsia="Times New Roman" w:cs="Times New Roman"/>
          <w:b/>
          <w:iCs/>
          <w:spacing w:val="3"/>
          <w:szCs w:val="28"/>
          <w:lang w:val="vi-VN"/>
        </w:rPr>
      </w:pPr>
      <w:r>
        <w:rPr>
          <w:rFonts w:eastAsia="Times New Roman" w:cs="Times New Roman"/>
          <w:b/>
          <w:iCs/>
          <w:spacing w:val="3"/>
          <w:szCs w:val="28"/>
          <w:lang w:val="vi-VN"/>
        </w:rPr>
        <w:t>1</w:t>
      </w:r>
      <w:r>
        <w:rPr>
          <w:rFonts w:eastAsia="Times New Roman" w:cs="Times New Roman"/>
          <w:b/>
          <w:iCs/>
          <w:spacing w:val="3"/>
          <w:szCs w:val="28"/>
          <w:lang w:val="en-US"/>
        </w:rPr>
        <w:t>.</w:t>
      </w:r>
      <w:r>
        <w:rPr>
          <w:rFonts w:eastAsia="Times New Roman" w:cs="Times New Roman"/>
          <w:b/>
          <w:iCs/>
          <w:spacing w:val="3"/>
          <w:szCs w:val="28"/>
          <w:lang w:val="vi-VN"/>
        </w:rPr>
        <w:t xml:space="preserve"> Lần đầu tiên thiết lập khuôn khổ pháp lý đối với hoạt động tín ngưỡng, tôn giáo trên không gian mạng</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Luật đã b</w:t>
      </w:r>
      <w:r>
        <w:rPr>
          <w:rFonts w:eastAsia="Times New Roman" w:cs="Times New Roman"/>
          <w:spacing w:val="3"/>
          <w:szCs w:val="28"/>
          <w:lang w:val="en-US"/>
        </w:rPr>
        <w:t>ổ</w:t>
      </w:r>
      <w:r>
        <w:rPr>
          <w:rFonts w:eastAsia="Times New Roman" w:cs="Times New Roman"/>
          <w:spacing w:val="3"/>
          <w:szCs w:val="28"/>
          <w:lang w:val="vi-VN"/>
        </w:rPr>
        <w:t xml:space="preserve"> sung Điều 2 về giải thích từ ngữ khái niệm "hoạt động tín ngưỡng, tôn giáo trên không gian mạng", đồng thời, bổ sung quy định trong Điều 7 về hành vi bị nghiêm cấm: "Sử dụng không gian mạng, trí tuệ nhân tạo hoặc công nghệ mới để vi phạm pháp luật về tín ngưỡng, tôn giáo"</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Điều 8 của Luật quy định nguyên tắc khi thực hiện hoạt động tín ngưỡng, tôn giáo trên không gian mạng, các chủ thể có liên quan thực hiện nghĩa vụ thông báo, đăng ký hoặc đề nghị theo các quy định tương ứng của Luật; trách nhiệm của tổ chức, cá nhân khi hoạt động tín ngưỡng, tôn giáo trên không gian mạng; trách nhiệm của cơ quan nhà nước có thẩm quyền và của tổ chức, doanh nghiệp có mạng viễn thông trong việc ngăn chặn các nội dung vi phạm pháp luật về tín ngưỡng, tôn giáo. </w:t>
      </w:r>
    </w:p>
    <w:p>
      <w:pPr>
        <w:shd w:val="clear" w:color="auto" w:fill="FFFFFF"/>
        <w:spacing w:before="120" w:after="120" w:line="240" w:lineRule="auto"/>
        <w:ind w:firstLine="720"/>
        <w:jc w:val="both"/>
        <w:rPr>
          <w:rFonts w:eastAsia="Times New Roman" w:cs="Times New Roman"/>
          <w:b/>
          <w:iCs/>
          <w:spacing w:val="3"/>
          <w:szCs w:val="28"/>
          <w:lang w:val="vi-VN"/>
        </w:rPr>
      </w:pPr>
      <w:r>
        <w:rPr>
          <w:rFonts w:eastAsia="Times New Roman" w:cs="Times New Roman"/>
          <w:b/>
          <w:iCs/>
          <w:spacing w:val="3"/>
          <w:szCs w:val="28"/>
          <w:lang w:val="vi-VN"/>
        </w:rPr>
        <w:t>2</w:t>
      </w:r>
      <w:r>
        <w:rPr>
          <w:rFonts w:eastAsia="Times New Roman" w:cs="Times New Roman"/>
          <w:b/>
          <w:iCs/>
          <w:spacing w:val="3"/>
          <w:szCs w:val="28"/>
          <w:lang w:val="en-US"/>
        </w:rPr>
        <w:t>.</w:t>
      </w:r>
      <w:r>
        <w:rPr>
          <w:rFonts w:eastAsia="Times New Roman" w:cs="Times New Roman"/>
          <w:b/>
          <w:iCs/>
          <w:spacing w:val="3"/>
          <w:szCs w:val="28"/>
          <w:lang w:val="vi-VN"/>
        </w:rPr>
        <w:t xml:space="preserve"> Về phân quyền, phân cấp trong lĩnh vực tín</w:t>
      </w:r>
      <w:r>
        <w:rPr>
          <w:rFonts w:eastAsia="Times New Roman" w:cs="Times New Roman"/>
          <w:b/>
          <w:spacing w:val="3"/>
          <w:szCs w:val="28"/>
          <w:lang w:val="vi-VN"/>
        </w:rPr>
        <w:t xml:space="preserve"> ngưỡng, tôn giáo</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Theo quy định tại Luật </w:t>
      </w:r>
      <w:r>
        <w:rPr>
          <w:rFonts w:cs="Times New Roman"/>
          <w:iCs/>
          <w:szCs w:val="28"/>
          <w:lang w:val="it-IT"/>
        </w:rPr>
        <w:t>số 07/2026/QH16</w:t>
      </w:r>
      <w:r>
        <w:rPr>
          <w:rFonts w:eastAsia="Times New Roman" w:cs="Times New Roman"/>
          <w:spacing w:val="3"/>
          <w:szCs w:val="28"/>
          <w:lang w:val="vi-VN"/>
        </w:rPr>
        <w:t xml:space="preserve">, Bộ Dân tộc và Tôn giáo chỉ còn thực hiện 37 thẩm quyền, trong đó có 15 thủ tục hành chính (giảm 08 thủ tục hành chính so với Luật </w:t>
      </w:r>
      <w:r>
        <w:rPr>
          <w:rFonts w:cs="Times New Roman"/>
          <w:szCs w:val="28"/>
        </w:rPr>
        <w:t>số 02/2016/QH14</w:t>
      </w:r>
      <w:r>
        <w:rPr>
          <w:rFonts w:eastAsia="Times New Roman" w:cs="Times New Roman"/>
          <w:spacing w:val="3"/>
          <w:szCs w:val="28"/>
          <w:lang w:val="vi-VN"/>
        </w:rPr>
        <w:t xml:space="preserve">); Ủy ban nhân dân cấp tỉnh thực hiện 51 thẩm quyền, trong đó có 30 thủ tục hành chính (tăng 06 thủ tục hành chính so với Luật </w:t>
      </w:r>
      <w:r>
        <w:rPr>
          <w:rFonts w:cs="Times New Roman"/>
          <w:szCs w:val="28"/>
        </w:rPr>
        <w:t>số 02/2016/QH14</w:t>
      </w:r>
      <w:r>
        <w:rPr>
          <w:rFonts w:eastAsia="Times New Roman" w:cs="Times New Roman"/>
          <w:spacing w:val="3"/>
          <w:szCs w:val="28"/>
          <w:lang w:val="vi-VN"/>
        </w:rPr>
        <w:t xml:space="preserve">). </w:t>
      </w:r>
    </w:p>
    <w:p>
      <w:pPr>
        <w:shd w:val="clear" w:color="auto" w:fill="FFFFFF"/>
        <w:spacing w:before="120" w:after="120" w:line="240" w:lineRule="auto"/>
        <w:ind w:firstLine="720"/>
        <w:jc w:val="both"/>
        <w:rPr>
          <w:rFonts w:eastAsia="Times New Roman" w:cs="Times New Roman"/>
          <w:szCs w:val="28"/>
          <w:lang w:val="en-US"/>
        </w:rPr>
      </w:pPr>
      <w:r>
        <w:rPr>
          <w:rFonts w:eastAsia="Times New Roman" w:cs="Times New Roman"/>
          <w:szCs w:val="28"/>
          <w:lang w:val="vi-VN"/>
        </w:rPr>
        <w:t xml:space="preserve">Điều đó đảm bảo tổng số thủ tục hành chính ở cấp bộ chỉ thực hiện không quá 30% tổng số thủ tục hành chính thuộc lĩnh vực quản lý theo tinh thần Nghị quyết số 89/NQ-CP ngày 05/4/2026 của Chính phủ. Bên cạnh đó, Luật phân định lại các thẩm quyền của Ủy ban nhân dân cấp huyện cho </w:t>
      </w:r>
      <w:r>
        <w:rPr>
          <w:rFonts w:eastAsia="Times New Roman" w:cs="Times New Roman"/>
          <w:szCs w:val="28"/>
          <w:lang w:val="en-US"/>
        </w:rPr>
        <w:t>Ủy</w:t>
      </w:r>
      <w:r>
        <w:rPr>
          <w:rFonts w:eastAsia="Times New Roman" w:cs="Times New Roman"/>
          <w:szCs w:val="28"/>
          <w:lang w:val="vi-VN"/>
        </w:rPr>
        <w:t xml:space="preserve"> ban nhân dân cấp tỉnh và cấp xã để phù hợp với mô hình chính quyền địa phương hai cấp. </w:t>
      </w:r>
    </w:p>
    <w:p>
      <w:pPr>
        <w:shd w:val="clear" w:color="auto" w:fill="FFFFFF"/>
        <w:spacing w:before="120" w:after="120" w:line="240" w:lineRule="auto"/>
        <w:ind w:firstLine="720"/>
        <w:jc w:val="both"/>
        <w:rPr>
          <w:rFonts w:eastAsia="Times New Roman" w:cs="Times New Roman"/>
          <w:b/>
          <w:iCs/>
          <w:spacing w:val="3"/>
          <w:szCs w:val="28"/>
          <w:lang w:val="vi-VN"/>
        </w:rPr>
      </w:pPr>
      <w:r>
        <w:rPr>
          <w:rFonts w:eastAsia="Times New Roman" w:cs="Times New Roman"/>
          <w:b/>
          <w:iCs/>
          <w:spacing w:val="3"/>
          <w:szCs w:val="28"/>
          <w:lang w:val="vi-VN"/>
        </w:rPr>
        <w:lastRenderedPageBreak/>
        <w:t>3</w:t>
      </w:r>
      <w:r>
        <w:rPr>
          <w:rFonts w:eastAsia="Times New Roman" w:cs="Times New Roman"/>
          <w:b/>
          <w:iCs/>
          <w:spacing w:val="3"/>
          <w:szCs w:val="28"/>
          <w:lang w:val="en-US"/>
        </w:rPr>
        <w:t>.</w:t>
      </w:r>
      <w:r>
        <w:rPr>
          <w:rFonts w:eastAsia="Times New Roman" w:cs="Times New Roman"/>
          <w:b/>
          <w:iCs/>
          <w:spacing w:val="3"/>
          <w:szCs w:val="28"/>
          <w:lang w:val="vi-VN"/>
        </w:rPr>
        <w:t xml:space="preserve"> </w:t>
      </w:r>
      <w:r>
        <w:rPr>
          <w:rFonts w:eastAsia="Times New Roman" w:cs="Times New Roman"/>
          <w:b/>
          <w:iCs/>
          <w:spacing w:val="3"/>
          <w:szCs w:val="28"/>
          <w:lang w:val="en-US"/>
        </w:rPr>
        <w:t>B</w:t>
      </w:r>
      <w:r>
        <w:rPr>
          <w:rFonts w:eastAsia="Times New Roman" w:cs="Times New Roman"/>
          <w:b/>
          <w:iCs/>
          <w:spacing w:val="3"/>
          <w:szCs w:val="28"/>
          <w:lang w:val="vi-VN"/>
        </w:rPr>
        <w:t xml:space="preserve">ổ sung trách nhiệm quản lý nhà nước trong lĩnh vực tín ngưỡng, tôn giáo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Luật đã kế thừa nhiều quy định còn phù hợp của Luật </w:t>
      </w:r>
      <w:r>
        <w:rPr>
          <w:rFonts w:cs="Times New Roman"/>
          <w:szCs w:val="28"/>
        </w:rPr>
        <w:t>số 02/2016/QH14</w:t>
      </w:r>
      <w:r>
        <w:rPr>
          <w:rFonts w:eastAsia="Times New Roman" w:cs="Times New Roman"/>
          <w:spacing w:val="3"/>
          <w:szCs w:val="28"/>
          <w:lang w:val="vi-VN"/>
        </w:rPr>
        <w:t xml:space="preserve">, bên cạnh đó, Luật điều chỉnh, bổ sung cụ thể các điều, khoản, trong đó có những biện pháp quản lý nhà nước, như: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Bổ sung việc thu hồi văn bản chấp thuận đăng ký sinh hoạt tôn giáo tập trung (của cả nhóm là công dân Việt Nam và nhóm người nước ngoài cư trú hợp pháp tại Việt Nam), văn bản chấp thuận đăng ký hoạt động tôn giáo và biện pháp đình chỉ chức vụ của chức việc trong một số trường hợp cụ thể.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Xác định khung pháp lý đối với hoạt động tín ngưỡng ngoài cơ sở tín ngưỡng. Quy định rõ trách nhiệm của cơ quan nhà nước có thẩm quyền tiếp nhận thông báo hoặc đăng ký tổ chức lễ hội tín ngưỡng.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vi-VN"/>
        </w:rPr>
        <w:t xml:space="preserve">- Hoàn thiện quy định tiêu chuẩn đối với người đại diện, ban quản lý cơ sở tín ngưỡng và người đại diện, người lãnh đạo tổ chức tôn giáo, tổ chức được cấp đăng ký hoạt động tôn giáo, nhóm người sinh hoạt tôn giáo tập trung.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Cụ thể sửa đổi, bổ sung các điều khoản như sau:</w:t>
      </w:r>
    </w:p>
    <w:p>
      <w:pPr>
        <w:shd w:val="clear" w:color="auto" w:fill="FFFFFF"/>
        <w:spacing w:before="120" w:after="120" w:line="240" w:lineRule="auto"/>
        <w:ind w:firstLine="720"/>
        <w:jc w:val="both"/>
        <w:rPr>
          <w:rFonts w:eastAsia="Times New Roman" w:cs="Times New Roman"/>
          <w:spacing w:val="6"/>
          <w:szCs w:val="28"/>
          <w:lang w:val="vi-VN"/>
        </w:rPr>
      </w:pPr>
      <w:r>
        <w:rPr>
          <w:rFonts w:eastAsia="Times New Roman" w:cs="Times New Roman"/>
          <w:spacing w:val="6"/>
          <w:szCs w:val="28"/>
          <w:lang w:val="vi-VN"/>
        </w:rPr>
        <w:t xml:space="preserve">- Những nội dung sửa đổi, hoàn thiện quy định tại các điều: 1, 2, 14, 15, 19, 20, 21, 22, 26, 29, 31, 34, 35, 47, 50, 51, 56, 57, 58. Ngoài ra, Luật chỉnh lý các điều, khoản có liên quan để tạo sự tương thích, thống nhất trong nội tại Luật.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Những nội dung bổ sung: Luật bổ sung một số điểm, khoản, điều, cụ thể: giải thích về hoạt động tín ngưỡng, tôn giáo trên không gian mạng (khoản 17 Điều 2); nguyên tắc hoạt động tín ngưỡng, tôn giáo (Điều 3); hợp tác quốc tế trong công tác tín ngưỡng, tôn giáo (Điều 5); hoạt động tín ngưỡng, tôn giáo trên không gian mạng (Điều 8); về việc bầu, cử người đại diện cơ sở tín ngưỡng thuộc địa bàn nhiều xã trong một tỉnh và đối với người đại diện cơ sở tín ngưỡng đã được đưa vào Danh mục kiểm kê, xếp hạng di tích (khoản 4 và khoản 6 Điều 14); quy định thông báo và đăng ký hoạt động tín ngưỡng (khoản 2 và khoản 3 Điều 15); biện pháp quản lý nhà nước trong lĩnh vực tín ngưỡng, tôn giáo (Điều 19; Điều 20; Điều 33 và Điều 43); quy định điều kiện thành lập cơ sở đào tạo tôn giáo (Điều 34); quy định về trình độ đào tạo, hình thức đào tạo, phương thức đào tạo của cơ sở đào tạo tôn giáo (Điều 35).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Những nội dung lược bỏ: Luật lược bỏ các quy định về trình tự, thủ tục thuộc thẩm quyền và giao Chính phủ quy định; lược bỏ quy định về nghĩa vụ của tổ chức, cá nhân trong hoạt động tín ngưỡng, tôn giáo và nguyên tắc hoạt động tín ngưỡng của Luật </w:t>
      </w:r>
      <w:r>
        <w:rPr>
          <w:rFonts w:cs="Times New Roman"/>
          <w:szCs w:val="28"/>
        </w:rPr>
        <w:t xml:space="preserve">số 02/2016/QH14 </w:t>
      </w:r>
      <w:r>
        <w:rPr>
          <w:rFonts w:eastAsia="Times New Roman" w:cs="Times New Roman"/>
          <w:spacing w:val="3"/>
          <w:szCs w:val="28"/>
          <w:lang w:val="vi-VN"/>
        </w:rPr>
        <w:t xml:space="preserve">và bổ sung 01 điều nguyên tắc chung (Điều 3); lược bỏ quy định tại Điều 64 và Điều 65 của Luật </w:t>
      </w:r>
      <w:r>
        <w:rPr>
          <w:rFonts w:cs="Times New Roman"/>
          <w:szCs w:val="28"/>
        </w:rPr>
        <w:t xml:space="preserve">số 02/2016/QH14 </w:t>
      </w:r>
      <w:r>
        <w:rPr>
          <w:rFonts w:eastAsia="Times New Roman" w:cs="Times New Roman"/>
          <w:spacing w:val="3"/>
          <w:szCs w:val="28"/>
          <w:lang w:val="vi-VN"/>
        </w:rPr>
        <w:t xml:space="preserve">để bảo đảm phù hợp, thống nhất với quy định của pháp luật có liên quan. </w:t>
      </w:r>
    </w:p>
    <w:p>
      <w:pPr>
        <w:shd w:val="clear" w:color="auto" w:fill="FFFFFF"/>
        <w:spacing w:before="120" w:after="120" w:line="240" w:lineRule="auto"/>
        <w:ind w:firstLine="720"/>
        <w:jc w:val="both"/>
        <w:rPr>
          <w:rFonts w:eastAsia="Times New Roman" w:cs="Times New Roman"/>
          <w:b/>
          <w:iCs/>
          <w:spacing w:val="3"/>
          <w:szCs w:val="28"/>
          <w:lang w:val="vi-VN"/>
        </w:rPr>
      </w:pPr>
      <w:r>
        <w:rPr>
          <w:rFonts w:eastAsia="Times New Roman" w:cs="Times New Roman"/>
          <w:b/>
          <w:iCs/>
          <w:spacing w:val="3"/>
          <w:szCs w:val="28"/>
          <w:lang w:val="vi-VN"/>
        </w:rPr>
        <w:t>4</w:t>
      </w:r>
      <w:r>
        <w:rPr>
          <w:rFonts w:eastAsia="Times New Roman" w:cs="Times New Roman"/>
          <w:b/>
          <w:iCs/>
          <w:spacing w:val="3"/>
          <w:szCs w:val="28"/>
          <w:lang w:val="en-US"/>
        </w:rPr>
        <w:t>.</w:t>
      </w:r>
      <w:r>
        <w:rPr>
          <w:rFonts w:eastAsia="Times New Roman" w:cs="Times New Roman"/>
          <w:b/>
          <w:iCs/>
          <w:spacing w:val="3"/>
          <w:szCs w:val="28"/>
          <w:lang w:val="vi-VN"/>
        </w:rPr>
        <w:t xml:space="preserve"> </w:t>
      </w:r>
      <w:r>
        <w:rPr>
          <w:rFonts w:eastAsia="Times New Roman" w:cs="Times New Roman"/>
          <w:b/>
          <w:iCs/>
          <w:spacing w:val="3"/>
          <w:szCs w:val="28"/>
          <w:lang w:val="en-US"/>
        </w:rPr>
        <w:t>Đ</w:t>
      </w:r>
      <w:r>
        <w:rPr>
          <w:rFonts w:eastAsia="Times New Roman" w:cs="Times New Roman"/>
          <w:b/>
          <w:iCs/>
          <w:spacing w:val="3"/>
          <w:szCs w:val="28"/>
          <w:lang w:val="vi-VN"/>
        </w:rPr>
        <w:t xml:space="preserve">ơn giản hóa thủ tục hành chính và chuyển đổi số trong lĩnh vực tín ngưỡng, tôn giáo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lastRenderedPageBreak/>
        <w:t xml:space="preserve">Luật đã sửa đổi, bổ sung một số quy định về thủ tục hành chính gắn với chuyển đổi số tạo thuận lợi hơn cho tổ chức, cá nhân khi thực hiện thủ tục hành chính về tín ngưỡng, tôn giáo, cụ thể: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Sửa đổi, bổ sung 07 thủ tục hành chính theo Luật </w:t>
      </w:r>
      <w:r>
        <w:rPr>
          <w:rFonts w:cs="Times New Roman"/>
          <w:szCs w:val="28"/>
        </w:rPr>
        <w:t>số 02/2016/QH14</w:t>
      </w:r>
      <w:r>
        <w:rPr>
          <w:rFonts w:eastAsia="Times New Roman" w:cs="Times New Roman"/>
          <w:spacing w:val="3"/>
          <w:szCs w:val="28"/>
          <w:lang w:val="vi-VN"/>
        </w:rPr>
        <w:t>, trong đó có 02 thủ tục đăng ký có bổ sung về chủ thể và địa bàn hoạt động (Điều 15), 01 thủ tục đăng ký từ tiền kiểm chuyển sang hậu kiểm (Điều 31) và 04 thủ tục theo hướng đăng ký thay vì đề nghị (Điều 42).</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vi-VN"/>
        </w:rPr>
        <w:t xml:space="preserve">- Sửa đổi, bổ sung 03 thủ tục hành chính theo Luật </w:t>
      </w:r>
      <w:r>
        <w:rPr>
          <w:rFonts w:cs="Times New Roman"/>
          <w:szCs w:val="28"/>
        </w:rPr>
        <w:t xml:space="preserve">số 02/2016/QH14 </w:t>
      </w:r>
      <w:r>
        <w:rPr>
          <w:rFonts w:eastAsia="Times New Roman" w:cs="Times New Roman"/>
          <w:spacing w:val="3"/>
          <w:szCs w:val="28"/>
          <w:lang w:val="vi-VN"/>
        </w:rPr>
        <w:t xml:space="preserve">theo hướng chuyển từ quy định đăng ký thành thông báo: 02 thủ tục tại Điều 15 và 01 thủ tục quy định tại khoản 1 Điều 37.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vi-VN"/>
        </w:rPr>
        <w:t>- Luật bỏ các quy định về trình tự, thủ tục, thành phần hồ sơ, thời hạn thực hiện các thủ tục trong Luật theo hướng giao Chính phủ quy định chi tiết và biện pháp để tổ chức, hướng dẫn thi hành Luật. Theo đó, thành phần hồ sơ được cắt giảm (phiếu lý lịch tư pháp) và rút ngắn thời gian xử lý thủ tục hành chính.</w:t>
      </w:r>
    </w:p>
    <w:p>
      <w:pPr>
        <w:shd w:val="clear" w:color="auto" w:fill="FFFFFF"/>
        <w:spacing w:before="120" w:after="120" w:line="240" w:lineRule="auto"/>
        <w:ind w:firstLine="720"/>
        <w:jc w:val="both"/>
        <w:rPr>
          <w:rFonts w:eastAsia="Times New Roman" w:cs="Times New Roman"/>
          <w:spacing w:val="3"/>
          <w:szCs w:val="28"/>
          <w:lang w:val="en-US"/>
        </w:rPr>
      </w:pPr>
      <w:r>
        <w:rPr>
          <w:rFonts w:eastAsia="Times New Roman" w:cs="Times New Roman"/>
          <w:spacing w:val="3"/>
          <w:szCs w:val="28"/>
          <w:lang w:val="vi-VN"/>
        </w:rPr>
        <w:t>- Về chuyển đổi số: Luật đặt ra yêu cầu thực hiện ứng dụng, thúc đẩy phát triển khoa học, công nghệ, đổi mới sáng tạo và chuyển đổi số trọng quản lý nhà nước. Hiện nay, Bộ Dân tộc và Tôn giáo đang được Chính phủ giao xây dựng cơ sở dữ liệu về tôn giáo, cùng với đó là cơ chế chia sẻ thông tin liên ngành cũng như việc xây dựng cơ sở hạ tầng kỹ thuật để ứng dụng hiệu quả công nghệ thông tin bảo</w:t>
      </w:r>
      <w:r>
        <w:rPr>
          <w:rFonts w:eastAsia="Times New Roman" w:cs="Times New Roman"/>
          <w:spacing w:val="3"/>
          <w:szCs w:val="28"/>
          <w:lang w:val="en-US"/>
        </w:rPr>
        <w:t xml:space="preserve"> đảm</w:t>
      </w:r>
      <w:r>
        <w:rPr>
          <w:rFonts w:eastAsia="Times New Roman" w:cs="Times New Roman"/>
          <w:spacing w:val="3"/>
          <w:szCs w:val="28"/>
          <w:lang w:val="vi-VN"/>
        </w:rPr>
        <w:t xml:space="preserve"> nâng cao hiệu lực, hiệu quả công tác quản lý nhà nước về tín ngưỡng, tôn giáo</w:t>
      </w:r>
      <w:r>
        <w:rPr>
          <w:rFonts w:eastAsia="Times New Roman" w:cs="Times New Roman"/>
          <w:spacing w:val="3"/>
          <w:szCs w:val="28"/>
          <w:lang w:val="en-US"/>
        </w:rPr>
        <w:t>.</w:t>
      </w:r>
    </w:p>
    <w:p>
      <w:pPr>
        <w:shd w:val="clear" w:color="auto" w:fill="FFFFFF"/>
        <w:spacing w:before="120" w:after="120" w:line="240" w:lineRule="auto"/>
        <w:ind w:firstLine="720"/>
        <w:jc w:val="both"/>
        <w:rPr>
          <w:rFonts w:eastAsia="Times New Roman" w:cs="Times New Roman"/>
          <w:b/>
          <w:bCs/>
          <w:szCs w:val="28"/>
          <w:bdr w:val="none" w:sz="0" w:space="0" w:color="auto" w:frame="1"/>
          <w:lang w:val="en-US"/>
        </w:rPr>
      </w:pPr>
      <w:r>
        <w:rPr>
          <w:rFonts w:eastAsia="Times New Roman" w:cs="Times New Roman"/>
          <w:b/>
          <w:spacing w:val="3"/>
          <w:szCs w:val="28"/>
          <w:lang w:val="en-US"/>
        </w:rPr>
        <w:t>5.</w:t>
      </w:r>
      <w:r>
        <w:rPr>
          <w:rFonts w:eastAsia="Times New Roman" w:cs="Times New Roman"/>
          <w:spacing w:val="3"/>
          <w:szCs w:val="28"/>
          <w:lang w:val="en-US"/>
        </w:rPr>
        <w:t xml:space="preserve"> </w:t>
      </w:r>
      <w:r>
        <w:rPr>
          <w:rFonts w:eastAsia="Times New Roman" w:cs="Times New Roman"/>
          <w:b/>
          <w:bCs/>
          <w:szCs w:val="28"/>
          <w:bdr w:val="none" w:sz="0" w:space="0" w:color="auto" w:frame="1"/>
          <w:lang w:val="en-US"/>
        </w:rPr>
        <w:t>Ghi nhận đậm nét vai trò cốt lõi của "cộng đồng dân cư”</w:t>
      </w:r>
    </w:p>
    <w:p>
      <w:pPr>
        <w:shd w:val="clear" w:color="auto" w:fill="FFFFFF"/>
        <w:spacing w:before="120" w:after="120" w:line="240" w:lineRule="auto"/>
        <w:ind w:firstLine="720"/>
        <w:jc w:val="both"/>
        <w:rPr>
          <w:rFonts w:eastAsia="Times New Roman" w:cs="Times New Roman"/>
          <w:szCs w:val="28"/>
          <w:lang w:val="en-US"/>
        </w:rPr>
      </w:pPr>
      <w:r>
        <w:rPr>
          <w:rFonts w:eastAsia="Times New Roman" w:cs="Times New Roman"/>
          <w:szCs w:val="28"/>
          <w:lang w:val="en-US"/>
        </w:rPr>
        <w:t xml:space="preserve">Luật </w:t>
      </w:r>
      <w:r>
        <w:rPr>
          <w:rFonts w:cs="Times New Roman"/>
          <w:iCs/>
          <w:szCs w:val="28"/>
          <w:lang w:val="it-IT"/>
        </w:rPr>
        <w:t>số 07/2026/QH16</w:t>
      </w:r>
      <w:r>
        <w:rPr>
          <w:rFonts w:eastAsia="Times New Roman" w:cs="Times New Roman"/>
          <w:szCs w:val="28"/>
          <w:lang w:val="en-US"/>
        </w:rPr>
        <w:t xml:space="preserve"> đã bổ sung chủ thể "cộng đồng dân cư" vào đối tượng áp dụng và định danh trong các khái niệm nền tảng (Điều 1, Điều 2). Việc định nghĩa tín ngưỡng là niềm tin mang lại sự bình an tinh thần cho "cá nhân và cộng đồng dân cư" cho thấy sự tương thích với pháp luật về di sản văn hóa. Đáng chú ý, tại Điều 14, việc bầu người đại diện ban quản lý cơ sở tín ngưỡng thuộc về quyền của cộng đồng dân cư, do UBND phối hợp với Ủy ban Mặt trận Tổ quốc tổ chức, phát huy dân chủ cơ sở thực chất.</w:t>
      </w:r>
    </w:p>
    <w:p>
      <w:pPr>
        <w:shd w:val="clear" w:color="auto" w:fill="FFFFFF"/>
        <w:spacing w:before="120" w:after="120" w:line="240" w:lineRule="auto"/>
        <w:ind w:firstLine="720"/>
        <w:jc w:val="both"/>
        <w:rPr>
          <w:rFonts w:eastAsia="Times New Roman" w:cs="Times New Roman"/>
          <w:b/>
          <w:bCs/>
          <w:spacing w:val="-4"/>
          <w:szCs w:val="28"/>
          <w:bdr w:val="none" w:sz="0" w:space="0" w:color="auto" w:frame="1"/>
          <w:lang w:val="en-US"/>
        </w:rPr>
      </w:pPr>
      <w:bookmarkStart w:id="2" w:name="_GoBack"/>
      <w:r>
        <w:rPr>
          <w:rFonts w:eastAsia="Times New Roman" w:cs="Times New Roman"/>
          <w:b/>
          <w:spacing w:val="-4"/>
          <w:szCs w:val="28"/>
          <w:lang w:val="en-US"/>
        </w:rPr>
        <w:t>6.</w:t>
      </w:r>
      <w:r>
        <w:rPr>
          <w:rFonts w:eastAsia="Times New Roman" w:cs="Times New Roman"/>
          <w:spacing w:val="-4"/>
          <w:szCs w:val="28"/>
          <w:lang w:val="en-US"/>
        </w:rPr>
        <w:t xml:space="preserve"> </w:t>
      </w:r>
      <w:r>
        <w:rPr>
          <w:rFonts w:eastAsia="Times New Roman" w:cs="Times New Roman"/>
          <w:b/>
          <w:bCs/>
          <w:spacing w:val="-4"/>
          <w:szCs w:val="28"/>
          <w:bdr w:val="none" w:sz="0" w:space="0" w:color="auto" w:frame="1"/>
          <w:lang w:val="en-US"/>
        </w:rPr>
        <w:t>Bảo đảm tính thống nhất hệ thống pháp luật bằng kỹ thuật dẫn chiếu</w:t>
      </w:r>
    </w:p>
    <w:bookmarkEnd w:id="2"/>
    <w:p>
      <w:pPr>
        <w:shd w:val="clear" w:color="auto" w:fill="FFFFFF"/>
        <w:spacing w:before="120" w:after="120" w:line="240" w:lineRule="auto"/>
        <w:ind w:firstLine="720"/>
        <w:jc w:val="both"/>
        <w:rPr>
          <w:rFonts w:eastAsia="Times New Roman" w:cs="Times New Roman"/>
          <w:b/>
          <w:bCs/>
          <w:szCs w:val="28"/>
          <w:bdr w:val="none" w:sz="0" w:space="0" w:color="auto" w:frame="1"/>
          <w:lang w:val="en-US"/>
        </w:rPr>
      </w:pPr>
      <w:r>
        <w:rPr>
          <w:rFonts w:eastAsia="Times New Roman" w:cs="Times New Roman"/>
          <w:szCs w:val="28"/>
          <w:lang w:val="en-US"/>
        </w:rPr>
        <w:t xml:space="preserve">Khắc phục sự chồng chéo của Luật </w:t>
      </w:r>
      <w:r>
        <w:rPr>
          <w:rFonts w:cs="Times New Roman"/>
          <w:szCs w:val="28"/>
        </w:rPr>
        <w:t xml:space="preserve">số 02/2016/QH14 </w:t>
      </w:r>
      <w:r>
        <w:rPr>
          <w:rFonts w:eastAsia="Times New Roman" w:cs="Times New Roman"/>
          <w:szCs w:val="28"/>
          <w:lang w:val="en-US"/>
        </w:rPr>
        <w:t xml:space="preserve">(từng tồn tại Điều 64, 65 quy định riêng về xử lý vi phạm), Luật </w:t>
      </w:r>
      <w:r>
        <w:rPr>
          <w:rFonts w:cs="Times New Roman"/>
          <w:iCs/>
          <w:szCs w:val="28"/>
          <w:lang w:val="it-IT"/>
        </w:rPr>
        <w:t>số 07/2026/QH16</w:t>
      </w:r>
      <w:r>
        <w:rPr>
          <w:rFonts w:eastAsia="Times New Roman" w:cs="Times New Roman"/>
          <w:szCs w:val="28"/>
          <w:lang w:val="en-US"/>
        </w:rPr>
        <w:t xml:space="preserve"> đã bãi bỏ hoàn toàn các điều luật này. Dưới góc độ lập pháp, đây là kỹ thuật dẫn chiếu tiến bộ nhằm tuân thủ nguyên tắc thống nhất của hệ thống pháp luật. Khi có hành vi vi phạm (đặc biệt trên không gian mạng), cơ quan chức năng sẽ trực tiếp áp dụng các chế tài của Luật Xử lý vi phạm hành chính, Nghị định chuyên ngành về viễn thông, an ninh mạng, hoặc truy cứu trách nhiệm hình sự theo Bộ luật Hình sự. Cơ chế này tạo ra lưới pháp lý đa tầng, không bỏ lọt vi phạm, đồng thời bảo đảm sức răn đe mạnh mẽ đối với các thế lực thù địch lợi dụng tôn giáo để trục lợi, chống phá.</w:t>
      </w:r>
    </w:p>
    <w:p>
      <w:pPr>
        <w:shd w:val="clear" w:color="auto" w:fill="FFFFFF"/>
        <w:spacing w:before="120" w:after="120" w:line="240" w:lineRule="auto"/>
        <w:ind w:firstLine="720"/>
        <w:jc w:val="both"/>
        <w:rPr>
          <w:rFonts w:eastAsia="Times New Roman" w:cs="Times New Roman"/>
          <w:b/>
          <w:bCs/>
          <w:szCs w:val="28"/>
          <w:bdr w:val="none" w:sz="0" w:space="0" w:color="auto" w:frame="1"/>
          <w:lang w:val="en-US"/>
        </w:rPr>
      </w:pPr>
      <w:r>
        <w:rPr>
          <w:rFonts w:eastAsia="Times New Roman" w:cs="Times New Roman"/>
          <w:szCs w:val="28"/>
          <w:lang w:val="en-US"/>
        </w:rPr>
        <w:t xml:space="preserve">Luật </w:t>
      </w:r>
      <w:r>
        <w:rPr>
          <w:rFonts w:cs="Times New Roman"/>
          <w:iCs/>
          <w:szCs w:val="28"/>
          <w:lang w:val="it-IT"/>
        </w:rPr>
        <w:t>số 07/2026/QH16</w:t>
      </w:r>
      <w:r>
        <w:rPr>
          <w:rFonts w:cs="Times New Roman"/>
          <w:i/>
          <w:iCs/>
          <w:szCs w:val="28"/>
          <w:lang w:val="it-IT"/>
        </w:rPr>
        <w:t xml:space="preserve"> </w:t>
      </w:r>
      <w:r>
        <w:rPr>
          <w:rFonts w:eastAsia="Times New Roman" w:cs="Times New Roman"/>
          <w:szCs w:val="28"/>
          <w:lang w:val="en-US"/>
        </w:rPr>
        <w:t xml:space="preserve">là một điểm sáng trong công tác xây dựng và hoàn thiện thể chế. Đạo luật không chỉ mở rộng hành lang pháp lý bảo vệ quyền tự do </w:t>
      </w:r>
      <w:r>
        <w:rPr>
          <w:rFonts w:eastAsia="Times New Roman" w:cs="Times New Roman"/>
          <w:szCs w:val="28"/>
          <w:lang w:val="en-US"/>
        </w:rPr>
        <w:lastRenderedPageBreak/>
        <w:t>tín ngưỡng, tôn giáo chân chính của Nhân dân mà còn cung cấp những công cụ sắc bén để quản lý nhà nước hiệu quả trong kỷ nguyên số, góp phần giữ vững ổn định chính trị - xã hội và khối đại đoàn kết toàn dân tộc.</w:t>
      </w:r>
    </w:p>
    <w:p>
      <w:pPr>
        <w:spacing w:before="120" w:after="120" w:line="240" w:lineRule="auto"/>
        <w:ind w:firstLine="720"/>
        <w:jc w:val="both"/>
        <w:rPr>
          <w:rFonts w:cs="Times New Roman"/>
          <w:b/>
          <w:bCs/>
          <w:szCs w:val="28"/>
          <w:lang w:val="sq-AL"/>
        </w:rPr>
      </w:pPr>
      <w:r>
        <w:rPr>
          <w:rFonts w:cs="Times New Roman"/>
          <w:b/>
          <w:bCs/>
          <w:szCs w:val="28"/>
          <w:lang w:val="sq-AL"/>
        </w:rPr>
        <w:t>PHẦN III. TỔ CHỨC THỰC HIỆN</w:t>
      </w:r>
    </w:p>
    <w:p>
      <w:pPr>
        <w:spacing w:before="120" w:after="120" w:line="240" w:lineRule="auto"/>
        <w:ind w:firstLine="720"/>
        <w:jc w:val="both"/>
        <w:rPr>
          <w:rFonts w:cs="Times New Roman"/>
          <w:b/>
          <w:bCs/>
          <w:szCs w:val="28"/>
          <w:lang w:val="sq-AL"/>
        </w:rPr>
      </w:pPr>
      <w:r>
        <w:rPr>
          <w:rFonts w:cs="Times New Roman"/>
          <w:szCs w:val="28"/>
          <w:lang w:val="sq-AL"/>
        </w:rPr>
        <w:t xml:space="preserve">Để kịp thời triển khai thi hành Luật </w:t>
      </w:r>
      <w:r>
        <w:rPr>
          <w:rFonts w:cs="Times New Roman"/>
          <w:iCs/>
          <w:szCs w:val="28"/>
          <w:lang w:val="it-IT"/>
        </w:rPr>
        <w:t>số 07/2026/QH16</w:t>
      </w:r>
      <w:r>
        <w:rPr>
          <w:rFonts w:cs="Times New Roman"/>
          <w:szCs w:val="28"/>
          <w:lang w:val="sq-AL"/>
        </w:rPr>
        <w:t xml:space="preserve">, ngày 23/7/2026, Thủ tướng Chính phủ ban hành Quyết định số 1382/QĐ-TTg ban hành Kế hoạch triển khai thi hành </w:t>
      </w:r>
      <w:r>
        <w:rPr>
          <w:rFonts w:eastAsia="Times New Roman" w:cs="Times New Roman"/>
          <w:szCs w:val="28"/>
          <w:lang w:val="sq-AL"/>
        </w:rPr>
        <w:t xml:space="preserve">Luật </w:t>
      </w:r>
      <w:r>
        <w:rPr>
          <w:rFonts w:eastAsia="Times New Roman" w:cs="Times New Roman"/>
          <w:spacing w:val="3"/>
          <w:szCs w:val="28"/>
          <w:lang w:val="en-US"/>
        </w:rPr>
        <w:t>T</w:t>
      </w:r>
      <w:r>
        <w:rPr>
          <w:rFonts w:eastAsia="Times New Roman" w:cs="Times New Roman"/>
          <w:spacing w:val="3"/>
          <w:szCs w:val="28"/>
          <w:lang w:val="vi-VN"/>
        </w:rPr>
        <w:t>ín ngưỡng, tôn giáo</w:t>
      </w:r>
      <w:r>
        <w:rPr>
          <w:rFonts w:cs="Times New Roman"/>
          <w:szCs w:val="28"/>
          <w:lang w:val="sq-AL"/>
        </w:rPr>
        <w:t>.</w:t>
      </w:r>
    </w:p>
    <w:p>
      <w:pPr>
        <w:spacing w:before="120" w:after="120" w:line="240" w:lineRule="auto"/>
        <w:ind w:firstLine="720"/>
        <w:jc w:val="both"/>
        <w:rPr>
          <w:rFonts w:eastAsia="Times New Roman" w:cs="Times New Roman"/>
          <w:noProof/>
          <w:szCs w:val="28"/>
        </w:rPr>
      </w:pPr>
      <w:r>
        <w:rPr>
          <w:rFonts w:eastAsia="Times New Roman" w:cs="Times New Roman"/>
          <w:noProof/>
          <w:szCs w:val="28"/>
        </w:rPr>
        <w:t>Nội dung Kế hoạch yêu cầu bảo đảm sự chỉ đạo thống nhất của Chính phủ, Thủ tướng Chính phủ, sự phối hợp chặt chẽ, thường xuyên, hiệu quả giữa các bộ, cơ quan ngang bộ, cơ quan thuộc Chính phủ và các cơ quan, tổ chức có liên quan trong việc triển khai thi hành Luật; người đứng đầu cơ quan, tổ chức, đơn vị được giao nhiệm vụ chủ động triển khai thực hiện Kế hoạch đúng tiến độ, bảo đảm chất lượng, thiết thực, hiệu quả; kiểm tra, đôn đốc, hướng dẫn, kịp thời giải quyết những khó khăn, vướng mắc trong quá trình tổ chức thực hiện Luật, cụ thể:</w:t>
      </w:r>
      <w:bookmarkStart w:id="3" w:name="dieu_1_1"/>
    </w:p>
    <w:p>
      <w:pPr>
        <w:shd w:val="clear" w:color="auto" w:fill="FFFFFF"/>
        <w:spacing w:before="120" w:after="120" w:line="240" w:lineRule="auto"/>
        <w:ind w:firstLine="720"/>
        <w:jc w:val="both"/>
        <w:rPr>
          <w:rFonts w:eastAsia="Times New Roman" w:cs="Times New Roman"/>
          <w:spacing w:val="3"/>
          <w:szCs w:val="28"/>
          <w:lang w:val="en-US"/>
        </w:rPr>
      </w:pPr>
      <w:r>
        <w:rPr>
          <w:rFonts w:eastAsia="Times New Roman" w:cs="Times New Roman"/>
          <w:b/>
          <w:spacing w:val="3"/>
          <w:szCs w:val="28"/>
          <w:lang w:val="vi-VN"/>
        </w:rPr>
        <w:t>1.</w:t>
      </w:r>
      <w:r>
        <w:rPr>
          <w:rFonts w:eastAsia="Times New Roman" w:cs="Times New Roman"/>
          <w:spacing w:val="3"/>
          <w:szCs w:val="28"/>
          <w:lang w:val="vi-VN"/>
        </w:rPr>
        <w:t xml:space="preserve"> Tổ chức tuyên truyền, phổ biến, hướng dẫn thi hành Luật và các văn bản hướng dẫn thi hành Luật </w:t>
      </w:r>
    </w:p>
    <w:p>
      <w:pPr>
        <w:spacing w:before="120" w:after="120" w:line="240" w:lineRule="auto"/>
        <w:ind w:firstLine="720"/>
        <w:jc w:val="both"/>
        <w:rPr>
          <w:rFonts w:eastAsia="Times New Roman" w:cs="Times New Roman"/>
          <w:noProof/>
          <w:szCs w:val="28"/>
        </w:rPr>
      </w:pPr>
      <w:r>
        <w:rPr>
          <w:rFonts w:eastAsia="Times New Roman" w:cs="Times New Roman"/>
          <w:noProof/>
          <w:szCs w:val="28"/>
        </w:rPr>
        <w:t>- Tuyên truyền, phổ biến pháp luật về tín ngưỡng, tôn giáo trên các phương tiện thông tin đại chúng, các nền tảng mạng xã hội.</w:t>
      </w:r>
    </w:p>
    <w:p>
      <w:pPr>
        <w:spacing w:before="120" w:after="120" w:line="240" w:lineRule="auto"/>
        <w:ind w:firstLine="720"/>
        <w:jc w:val="both"/>
        <w:rPr>
          <w:rFonts w:eastAsia="Times New Roman" w:cs="Times New Roman"/>
          <w:noProof/>
          <w:szCs w:val="28"/>
        </w:rPr>
      </w:pPr>
      <w:r>
        <w:rPr>
          <w:rFonts w:eastAsia="Times New Roman" w:cs="Times New Roman"/>
          <w:noProof/>
          <w:szCs w:val="28"/>
        </w:rPr>
        <w:t>- Biên soạn tài liệu phục vụ phổ biến Luật và các văn bản quy phạm pháp luật quy định chi tiết.</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noProof/>
          <w:szCs w:val="28"/>
        </w:rPr>
        <w:t xml:space="preserve">- Tổ chức </w:t>
      </w:r>
      <w:r>
        <w:rPr>
          <w:rFonts w:eastAsia="Times New Roman" w:cs="Times New Roman"/>
          <w:spacing w:val="3"/>
          <w:szCs w:val="28"/>
          <w:lang w:val="vi-VN"/>
        </w:rPr>
        <w:t xml:space="preserve">hội nghị, hội thảo, tọa đàm hướng dẫn triển khai thi hành Luật và các văn bản quy định chi tiết. Đối tượng tuyên truyền, phổ biến là cán bộ, công chức, viên chức; chức sắc, chức việc, tín đồ các tôn giáo và Nhân dân; các tổ chức, cá nhân </w:t>
      </w:r>
      <w:r>
        <w:rPr>
          <w:rFonts w:eastAsia="Times New Roman" w:cs="Times New Roman"/>
          <w:spacing w:val="3"/>
          <w:szCs w:val="28"/>
          <w:lang w:val="en-US"/>
        </w:rPr>
        <w:t>khác có</w:t>
      </w:r>
      <w:r>
        <w:rPr>
          <w:rFonts w:eastAsia="Times New Roman" w:cs="Times New Roman"/>
          <w:spacing w:val="3"/>
          <w:szCs w:val="28"/>
          <w:lang w:val="vi-VN"/>
        </w:rPr>
        <w:t xml:space="preserve"> liên quan.</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b/>
          <w:spacing w:val="3"/>
          <w:szCs w:val="28"/>
          <w:lang w:val="vi-VN"/>
        </w:rPr>
        <w:t>2.</w:t>
      </w:r>
      <w:r>
        <w:rPr>
          <w:rFonts w:eastAsia="Times New Roman" w:cs="Times New Roman"/>
          <w:spacing w:val="3"/>
          <w:szCs w:val="28"/>
          <w:lang w:val="vi-VN"/>
        </w:rPr>
        <w:t xml:space="preserve"> Tổ chức tập huấn chuyên sâu, bồi dưỡng nghiệp vụ công tác quản lý nhà nước về tín ngưỡng, tôn giáo </w:t>
      </w:r>
    </w:p>
    <w:p>
      <w:pPr>
        <w:shd w:val="clear" w:color="auto" w:fill="FFFFFF"/>
        <w:spacing w:before="120" w:after="120" w:line="240" w:lineRule="auto"/>
        <w:ind w:firstLine="720"/>
        <w:jc w:val="both"/>
        <w:rPr>
          <w:rFonts w:eastAsia="Times New Roman" w:cs="Times New Roman"/>
          <w:spacing w:val="3"/>
          <w:szCs w:val="28"/>
          <w:lang w:val="vi-VN"/>
        </w:rPr>
      </w:pPr>
      <w:r>
        <w:rPr>
          <w:rFonts w:eastAsia="Times New Roman" w:cs="Times New Roman"/>
          <w:spacing w:val="3"/>
          <w:szCs w:val="28"/>
          <w:lang w:val="en-US"/>
        </w:rPr>
        <w:t>T</w:t>
      </w:r>
      <w:r>
        <w:rPr>
          <w:rFonts w:eastAsia="Times New Roman" w:cs="Times New Roman"/>
          <w:spacing w:val="3"/>
          <w:szCs w:val="28"/>
          <w:lang w:val="vi-VN"/>
        </w:rPr>
        <w:t xml:space="preserve">ổ chức tập huấn, bồi dưỡng cho đội ngũ cán bộ, công chức làm công tác tín ngưỡng, tôn giáo về nội dung mới của Luật, nghiệp vụ quản lý nhà nước, hướng dẫn giải quyết thủ tục hành chính, kỹ năng ứng dụng công nghệ thông tin và chuyển đổi số trong quá trình thi hành Luật. </w:t>
      </w:r>
    </w:p>
    <w:p>
      <w:pPr>
        <w:shd w:val="clear" w:color="auto" w:fill="FFFFFF"/>
        <w:spacing w:before="120" w:after="120" w:line="240" w:lineRule="auto"/>
        <w:ind w:firstLine="720"/>
        <w:jc w:val="both"/>
        <w:rPr>
          <w:rFonts w:eastAsia="Times New Roman" w:cs="Times New Roman"/>
          <w:spacing w:val="-4"/>
          <w:szCs w:val="28"/>
          <w:lang w:val="vi-VN"/>
        </w:rPr>
      </w:pPr>
      <w:r>
        <w:rPr>
          <w:rFonts w:eastAsia="Times New Roman" w:cs="Times New Roman"/>
          <w:b/>
          <w:spacing w:val="-4"/>
          <w:szCs w:val="28"/>
          <w:lang w:val="vi-VN"/>
        </w:rPr>
        <w:t>3.</w:t>
      </w:r>
      <w:r>
        <w:rPr>
          <w:rFonts w:eastAsia="Times New Roman" w:cs="Times New Roman"/>
          <w:spacing w:val="-4"/>
          <w:szCs w:val="28"/>
          <w:lang w:val="vi-VN"/>
        </w:rPr>
        <w:t xml:space="preserve"> Rà soát các văn bản quy phạm pháp luật liên quan đến tín ngưỡng, tôn giáo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en-US"/>
        </w:rPr>
        <w:t>R</w:t>
      </w:r>
      <w:r>
        <w:rPr>
          <w:rFonts w:eastAsia="Times New Roman" w:cs="Times New Roman"/>
          <w:szCs w:val="28"/>
          <w:lang w:val="vi-VN"/>
        </w:rPr>
        <w:t xml:space="preserve">à soát các văn bản quy phạm pháp luật có liên quan đến Luật thuộc thẩm quyền quản lý nhà nước được phân công; thực hiện theo thẩm quyền hoặc kiến </w:t>
      </w:r>
      <w:r>
        <w:rPr>
          <w:rFonts w:eastAsia="Times New Roman" w:cs="Times New Roman"/>
          <w:spacing w:val="-2"/>
          <w:szCs w:val="28"/>
          <w:lang w:val="vi-VN"/>
        </w:rPr>
        <w:t>nghị cấp có thẩm quyền kịp thời sửa đổi, bổ sung, thay thế, bãi bỏ hoặc ban hành mới các văn bản quy phạm pháp luật bảo đảm phù hợp với quy định của Luật và các văn bản quy phạm pháp luật quy định chi tiết, hướng dẫn thi hành có liên quan.</w:t>
      </w:r>
      <w:r>
        <w:rPr>
          <w:rFonts w:eastAsia="Times New Roman" w:cs="Times New Roman"/>
          <w:szCs w:val="28"/>
          <w:lang w:val="vi-VN"/>
        </w:rPr>
        <w:t xml:space="preserve">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b/>
          <w:szCs w:val="28"/>
          <w:lang w:val="vi-VN"/>
        </w:rPr>
        <w:t>4.</w:t>
      </w:r>
      <w:r>
        <w:rPr>
          <w:rFonts w:eastAsia="Times New Roman" w:cs="Times New Roman"/>
          <w:szCs w:val="28"/>
          <w:lang w:val="vi-VN"/>
        </w:rPr>
        <w:t xml:space="preserve"> Xây dựng Nghị định quy định chi tiết một số điều và biện pháp để tổ chức, hướng dẫn thi hành Luật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en-US"/>
        </w:rPr>
        <w:lastRenderedPageBreak/>
        <w:t xml:space="preserve">Phân công đơn vi chủ trì, đơn vị </w:t>
      </w:r>
      <w:r>
        <w:rPr>
          <w:rFonts w:eastAsia="Times New Roman" w:cs="Times New Roman"/>
          <w:szCs w:val="28"/>
        </w:rPr>
        <w:t xml:space="preserve">phối hợp tham mưu Chính phủ ban hành Nghị định quy định chi tiết một số điều và biện pháp để tổ chức, hướng dẫn thi hành Luật đảm bảo chất lượng, đúng tiến độ, theo quy định của pháp luật, có hiệu lực thi hành cùng với Luật (ngày 01/01/2027).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b/>
          <w:szCs w:val="28"/>
          <w:lang w:val="vi-VN"/>
        </w:rPr>
        <w:t>5.</w:t>
      </w:r>
      <w:r>
        <w:rPr>
          <w:rFonts w:eastAsia="Times New Roman" w:cs="Times New Roman"/>
          <w:szCs w:val="28"/>
          <w:lang w:val="vi-VN"/>
        </w:rPr>
        <w:t xml:space="preserve"> Xây dựng Cơ sở dữ liệu tôn giáo phục vụ giải quyết thủ tục hành chính trong lĩnh vực tín ngưỡng, tôn giáo và công tác quản lý nhà nước về tín ngưỡng, tôn giáo; đẩy mạnh chuyển đổi số, ứng dụng công nghệ thông tin phục vụ công tác quản lý nhà nước về tín ngưỡng, tôn giáo.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b/>
          <w:szCs w:val="28"/>
          <w:lang w:val="vi-VN"/>
        </w:rPr>
        <w:t>6.</w:t>
      </w:r>
      <w:r>
        <w:rPr>
          <w:rFonts w:eastAsia="Times New Roman" w:cs="Times New Roman"/>
          <w:szCs w:val="28"/>
          <w:lang w:val="vi-VN"/>
        </w:rPr>
        <w:t xml:space="preserve"> Tổ chức theo dõi, kiểm tra, đôn đốc, sơ kết, tổng kết việc thi hành Luật và các văn bản quy phạm pháp luật quy định chi tiết, hướng dẫn thi hành. </w:t>
      </w:r>
      <w:r>
        <w:rPr>
          <w:rFonts w:eastAsia="Times New Roman" w:cs="Times New Roman"/>
          <w:szCs w:val="28"/>
        </w:rPr>
        <w:t xml:space="preserve">Qua đó, kịp thời đề xuất giải pháp tháo gỡ khó khăn, vướng mắc trong quá trình triển khai thi hành Luật. </w:t>
      </w:r>
    </w:p>
    <w:p>
      <w:pPr>
        <w:shd w:val="clear" w:color="auto" w:fill="FFFFFF"/>
        <w:spacing w:before="120" w:after="120" w:line="240" w:lineRule="auto"/>
        <w:ind w:firstLine="720"/>
        <w:jc w:val="both"/>
        <w:rPr>
          <w:rFonts w:eastAsia="Times New Roman" w:cs="Times New Roman"/>
          <w:szCs w:val="28"/>
          <w:lang w:val="vi-VN"/>
        </w:rPr>
      </w:pPr>
      <w:r>
        <w:rPr>
          <w:rFonts w:eastAsia="Times New Roman" w:cs="Times New Roman"/>
          <w:szCs w:val="28"/>
          <w:lang w:val="vi-VN"/>
        </w:rPr>
        <w:t xml:space="preserve">Việc triển khai đồng bộ, hiệu quả các nhiệm vụ nêu trên sẽ góp phần đưa Luật Tín ngưỡng, tôn giáo </w:t>
      </w:r>
      <w:r>
        <w:rPr>
          <w:rFonts w:cs="Times New Roman"/>
          <w:iCs/>
          <w:szCs w:val="28"/>
          <w:lang w:val="it-IT"/>
        </w:rPr>
        <w:t>số 07/2026/QH16</w:t>
      </w:r>
      <w:r>
        <w:rPr>
          <w:rFonts w:cs="Times New Roman"/>
          <w:i/>
          <w:iCs/>
          <w:szCs w:val="28"/>
          <w:lang w:val="it-IT"/>
        </w:rPr>
        <w:t xml:space="preserve"> </w:t>
      </w:r>
      <w:r>
        <w:rPr>
          <w:rFonts w:eastAsia="Times New Roman" w:cs="Times New Roman"/>
          <w:szCs w:val="28"/>
          <w:lang w:val="vi-VN"/>
        </w:rPr>
        <w:t>nhanh chóng đi vào cuộc sống, phát huy đầy đủ giá trị và ý nghĩa của Luật, đáp ứng yêu cầu phát triển đất nước và hội nhập quốc tế trong giai đoạn mới./.</w:t>
      </w:r>
    </w:p>
    <w:p>
      <w:pPr>
        <w:spacing w:before="120" w:after="120" w:line="240" w:lineRule="auto"/>
        <w:ind w:firstLine="720"/>
        <w:jc w:val="both"/>
        <w:rPr>
          <w:rFonts w:eastAsia="Times New Roman" w:cs="Times New Roman"/>
          <w:noProof/>
          <w:szCs w:val="28"/>
        </w:rPr>
      </w:pPr>
    </w:p>
    <w:bookmarkEnd w:id="1"/>
    <w:bookmarkEnd w:id="3"/>
    <w:p>
      <w:pPr>
        <w:spacing w:before="120" w:after="120" w:line="240" w:lineRule="auto"/>
        <w:ind w:firstLine="709"/>
        <w:jc w:val="both"/>
        <w:rPr>
          <w:rFonts w:cs="Times New Roman"/>
          <w:b/>
          <w:bCs/>
          <w:szCs w:val="28"/>
          <w:lang w:val="sq-AL"/>
        </w:rPr>
      </w:pPr>
    </w:p>
    <w:sectPr>
      <w:headerReference w:type="default" r:id="rId11"/>
      <w:pgSz w:w="11906" w:h="16838" w:code="9"/>
      <w:pgMar w:top="1276" w:right="1134" w:bottom="1134" w:left="1701" w:header="567"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iberation Mono">
    <w:altName w:val="Courier New"/>
    <w:charset w:val="01"/>
    <w:family w:val="modern"/>
    <w:pitch w:val="fixed"/>
  </w:font>
  <w:font w:name="Noto Sans Mono CJK SC">
    <w:charset w:val="01"/>
    <w:family w:val="modern"/>
    <w:pitch w:val="fixe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441631"/>
      <w:docPartObj>
        <w:docPartGallery w:val="Page Numbers (Top of Page)"/>
        <w:docPartUnique/>
      </w:docPartObj>
    </w:sdtPr>
    <w:sdtEndPr>
      <w:rPr>
        <w:noProof/>
      </w:rPr>
    </w:sdtEndPr>
    <w:sdtContent>
      <w:p>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10</w:t>
        </w:r>
        <w:r>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0C3A"/>
    <w:multiLevelType w:val="multilevel"/>
    <w:tmpl w:val="7DAA8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9D39F8"/>
    <w:multiLevelType w:val="multilevel"/>
    <w:tmpl w:val="2A58C898"/>
    <w:lvl w:ilvl="0">
      <w:numFmt w:val="bullet"/>
      <w:lvlText w:val="-"/>
      <w:lvlJc w:val="left"/>
      <w:pPr>
        <w:ind w:left="36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785D7E"/>
    <w:multiLevelType w:val="hybridMultilevel"/>
    <w:tmpl w:val="9D508478"/>
    <w:lvl w:ilvl="0" w:tplc="6554C1D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A8446FA"/>
    <w:multiLevelType w:val="multilevel"/>
    <w:tmpl w:val="6B8A0308"/>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741964"/>
    <w:multiLevelType w:val="multilevel"/>
    <w:tmpl w:val="86FE1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8C1899"/>
    <w:multiLevelType w:val="hybridMultilevel"/>
    <w:tmpl w:val="5FB0513E"/>
    <w:lvl w:ilvl="0" w:tplc="AA7ABFA2">
      <w:start w:val="4"/>
      <w:numFmt w:val="decimal"/>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6" w15:restartNumberingAfterBreak="0">
    <w:nsid w:val="37916D43"/>
    <w:multiLevelType w:val="hybridMultilevel"/>
    <w:tmpl w:val="221283D2"/>
    <w:lvl w:ilvl="0" w:tplc="25AEC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DBB624C"/>
    <w:multiLevelType w:val="multilevel"/>
    <w:tmpl w:val="7E2A83E8"/>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B762C4"/>
    <w:multiLevelType w:val="multilevel"/>
    <w:tmpl w:val="870672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A66A68"/>
    <w:multiLevelType w:val="hybridMultilevel"/>
    <w:tmpl w:val="2A6E03D0"/>
    <w:lvl w:ilvl="0" w:tplc="DE6C5DAC">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0" w15:restartNumberingAfterBreak="0">
    <w:nsid w:val="66DB2DA6"/>
    <w:multiLevelType w:val="hybridMultilevel"/>
    <w:tmpl w:val="B12EB312"/>
    <w:lvl w:ilvl="0" w:tplc="3D8EEC2A">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1" w15:restartNumberingAfterBreak="0">
    <w:nsid w:val="679E6701"/>
    <w:multiLevelType w:val="multilevel"/>
    <w:tmpl w:val="BD3633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C10F29"/>
    <w:multiLevelType w:val="hybridMultilevel"/>
    <w:tmpl w:val="64F22FDA"/>
    <w:lvl w:ilvl="0" w:tplc="050639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E6320F0"/>
    <w:multiLevelType w:val="multilevel"/>
    <w:tmpl w:val="B240E5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B66EAA"/>
    <w:multiLevelType w:val="hybridMultilevel"/>
    <w:tmpl w:val="A0B25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6BC59AA"/>
    <w:multiLevelType w:val="multilevel"/>
    <w:tmpl w:val="55703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6F325F"/>
    <w:multiLevelType w:val="multilevel"/>
    <w:tmpl w:val="33107D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14"/>
  </w:num>
  <w:num w:numId="4">
    <w:abstractNumId w:val="13"/>
  </w:num>
  <w:num w:numId="5">
    <w:abstractNumId w:val="7"/>
  </w:num>
  <w:num w:numId="6">
    <w:abstractNumId w:val="4"/>
  </w:num>
  <w:num w:numId="7">
    <w:abstractNumId w:val="3"/>
  </w:num>
  <w:num w:numId="8">
    <w:abstractNumId w:val="8"/>
  </w:num>
  <w:num w:numId="9">
    <w:abstractNumId w:val="16"/>
  </w:num>
  <w:num w:numId="10">
    <w:abstractNumId w:val="11"/>
  </w:num>
  <w:num w:numId="11">
    <w:abstractNumId w:val="0"/>
  </w:num>
  <w:num w:numId="12">
    <w:abstractNumId w:val="15"/>
  </w:num>
  <w:num w:numId="13">
    <w:abstractNumId w:val="5"/>
  </w:num>
  <w:num w:numId="14">
    <w:abstractNumId w:val="12"/>
  </w:num>
  <w:num w:numId="15">
    <w:abstractNumId w:val="10"/>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030908-DE9A-436A-AD1D-17509197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0" w:line="360" w:lineRule="exact"/>
      <w:jc w:val="both"/>
    </w:pPr>
    <w:rPr>
      <w:rFonts w:eastAsia="Times New Roman" w:cs="Times New Roman"/>
      <w:bCs/>
      <w:szCs w:val="28"/>
      <w:lang w:val="en-US"/>
    </w:rPr>
  </w:style>
  <w:style w:type="character" w:customStyle="1" w:styleId="BodyTextChar">
    <w:name w:val="Body Text Char"/>
    <w:basedOn w:val="DefaultParagraphFont"/>
    <w:link w:val="BodyText"/>
    <w:rPr>
      <w:rFonts w:eastAsia="Times New Roman" w:cs="Times New Roman"/>
      <w:bCs/>
      <w:szCs w:val="2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Pr>
      <w:color w:val="0000FF"/>
      <w:u w:val="single"/>
    </w:rPr>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spacing w:line="240" w:lineRule="exact"/>
    </w:pPr>
    <w:rPr>
      <w:rFonts w:ascii="Arial" w:eastAsia="Times New Roman" w:hAnsi="Arial" w:cs="Times New Roman"/>
      <w:sz w:val="22"/>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Char9,Char9,fn,fn Char Char,Footn"/>
    <w:basedOn w:val="Normal"/>
    <w:link w:val="FootnoteTextChar"/>
    <w:qFormat/>
    <w:pPr>
      <w:spacing w:after="0" w:line="288" w:lineRule="auto"/>
      <w:jc w:val="center"/>
    </w:pPr>
    <w:rPr>
      <w:rFonts w:eastAsia="Batang" w:cs="Times New Roman"/>
      <w:sz w:val="20"/>
      <w:szCs w:val="20"/>
      <w:lang w:val="en-US" w:eastAsia="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Char9 Char"/>
    <w:basedOn w:val="DefaultParagraphFont"/>
    <w:link w:val="FootnoteText"/>
    <w:qFormat/>
    <w:rPr>
      <w:rFonts w:eastAsia="Batang" w:cs="Times New Roman"/>
      <w:sz w:val="20"/>
      <w:szCs w:val="20"/>
      <w:lang w:eastAsia="ar-SA"/>
    </w:rPr>
  </w:style>
  <w:style w:type="character" w:styleId="FootnoteReference">
    <w:name w:val="footnote reference"/>
    <w:aliases w:val="Footnote Char,Footnote text Char,Ref Char,de nota al pie Char,ftref Char1,Footnote text + 13 pt Char,Footnote Text1 Char,BearingPoint Char,16 Point Char,Superscript 6 Point Char,fr Char,Footnote + Arial Char,10 pt Char,4_ Char,4 Char"/>
    <w:link w:val="4GChar"/>
    <w:uiPriority w:val="99"/>
    <w:qFormat/>
    <w:rPr>
      <w:vertAlign w:val="superscript"/>
      <w:lang w:bidi="ar-SA"/>
    </w:rPr>
  </w:style>
  <w:style w:type="paragraph" w:styleId="NormalWeb">
    <w:name w:val="Normal (Web)"/>
    <w:basedOn w:val="Normal"/>
    <w:uiPriority w:val="99"/>
    <w:unhideWhenUsed/>
    <w:pPr>
      <w:suppressAutoHyphens/>
      <w:spacing w:before="280" w:after="280" w:line="240" w:lineRule="auto"/>
    </w:pPr>
    <w:rPr>
      <w:rFonts w:eastAsia="Times New Roman" w:cs="Times New Roman"/>
      <w:sz w:val="24"/>
      <w:szCs w:val="24"/>
      <w:lang w:val="en-US" w:eastAsia="zh-CN"/>
    </w:rPr>
  </w:style>
  <w:style w:type="paragraph" w:customStyle="1" w:styleId="4GChar">
    <w:name w:val="4_G Char"/>
    <w:basedOn w:val="Normal"/>
    <w:link w:val="FootnoteReference"/>
    <w:uiPriority w:val="99"/>
    <w:pPr>
      <w:spacing w:line="240" w:lineRule="exact"/>
      <w:jc w:val="both"/>
    </w:pPr>
    <w:rPr>
      <w:vertAlign w:val="superscript"/>
      <w:lang w:val="en-US"/>
    </w:rPr>
  </w:style>
  <w:style w:type="paragraph" w:customStyle="1" w:styleId="04Body">
    <w:name w:val="04. Body"/>
    <w:basedOn w:val="Normal"/>
    <w:link w:val="04BodyChar"/>
    <w:qFormat/>
    <w:pPr>
      <w:spacing w:before="120" w:after="120" w:line="264" w:lineRule="auto"/>
      <w:ind w:firstLine="720"/>
      <w:jc w:val="both"/>
    </w:pPr>
    <w:rPr>
      <w:rFonts w:eastAsia="Times New Roman" w:cs="Times New Roman"/>
      <w:sz w:val="20"/>
      <w:szCs w:val="26"/>
      <w:lang w:val="x-none" w:eastAsia="x-none"/>
    </w:rPr>
  </w:style>
  <w:style w:type="character" w:customStyle="1" w:styleId="04BodyChar">
    <w:name w:val="04. Body Char"/>
    <w:link w:val="04Body"/>
    <w:rPr>
      <w:rFonts w:eastAsia="Times New Roman" w:cs="Times New Roman"/>
      <w:sz w:val="20"/>
      <w:szCs w:val="26"/>
      <w:lang w:val="x-none" w:eastAsia="x-none"/>
    </w:rPr>
  </w:style>
  <w:style w:type="paragraph" w:customStyle="1" w:styleId="03Dieu">
    <w:name w:val="03. Dieu"/>
    <w:basedOn w:val="Normal"/>
    <w:link w:val="03DieuChar"/>
    <w:qFormat/>
    <w:pPr>
      <w:keepNext/>
      <w:spacing w:before="120" w:after="120" w:line="264" w:lineRule="auto"/>
      <w:ind w:firstLine="720"/>
      <w:jc w:val="both"/>
      <w:outlineLvl w:val="0"/>
    </w:pPr>
    <w:rPr>
      <w:rFonts w:eastAsia="Times New Roman" w:cs="Times New Roman"/>
      <w:b/>
      <w:sz w:val="20"/>
      <w:szCs w:val="20"/>
      <w:lang w:val="x-none" w:eastAsia="x-none"/>
    </w:rPr>
  </w:style>
  <w:style w:type="character" w:customStyle="1" w:styleId="03DieuChar">
    <w:name w:val="03. Dieu Char"/>
    <w:link w:val="03Dieu"/>
    <w:rPr>
      <w:rFonts w:eastAsia="Times New Roman" w:cs="Times New Roman"/>
      <w:b/>
      <w:sz w:val="20"/>
      <w:szCs w:val="20"/>
      <w:lang w:val="x-none" w:eastAsia="x-none"/>
    </w:rPr>
  </w:style>
  <w:style w:type="character" w:styleId="Strong">
    <w:name w:val="Strong"/>
    <w:basedOn w:val="DefaultParagraphFont"/>
    <w:uiPriority w:val="22"/>
    <w:qFormat/>
    <w:rPr>
      <w:b/>
      <w:bCs/>
    </w:rPr>
  </w:style>
  <w:style w:type="paragraph" w:customStyle="1" w:styleId="1">
    <w:name w:val="1"/>
    <w:basedOn w:val="Normal"/>
    <w:qFormat/>
    <w:pPr>
      <w:keepNext/>
      <w:widowControl w:val="0"/>
      <w:spacing w:before="120" w:after="120" w:line="288" w:lineRule="auto"/>
      <w:ind w:firstLine="720"/>
      <w:jc w:val="both"/>
    </w:pPr>
    <w:rPr>
      <w:rFonts w:eastAsia="Times New Roman" w:cs="Times New Roman"/>
      <w:b/>
      <w:szCs w:val="28"/>
      <w:lang w:val="fr-FR"/>
    </w:rPr>
  </w:style>
  <w:style w:type="character" w:customStyle="1" w:styleId="label--pressed">
    <w:name w:val="label--pressed"/>
    <w:basedOn w:val="DefaultParagraphFont"/>
  </w:style>
  <w:style w:type="character" w:customStyle="1" w:styleId="plyrtooltip">
    <w:name w:val="plyr__tooltip"/>
    <w:basedOn w:val="DefaultParagraphFont"/>
  </w:style>
  <w:style w:type="character" w:customStyle="1" w:styleId="label--not-pressed">
    <w:name w:val="label--not-pressed"/>
    <w:basedOn w:val="DefaultParagraphFont"/>
  </w:style>
  <w:style w:type="character" w:styleId="Emphasis">
    <w:name w:val="Emphasis"/>
    <w:basedOn w:val="DefaultParagraphFont"/>
    <w:uiPriority w:val="20"/>
    <w:qFormat/>
    <w:rPr>
      <w:i/>
      <w:iCs/>
    </w:rPr>
  </w:style>
  <w:style w:type="paragraph" w:customStyle="1" w:styleId="FootnoteChar1Char">
    <w:name w:val="Footnote Char1 Char"/>
    <w:aliases w:val="Footnote text Char1 Char,ftref Char1 Char,BearingPoint Char1 Char,16 Point Char1 Char,Superscript 6 Point Char1 Char,fr Char1 Char,Footnote Text1 Char1 Char,Ref Ch Char Char,f Char Char"/>
    <w:basedOn w:val="Normal"/>
    <w:uiPriority w:val="99"/>
    <w:pPr>
      <w:spacing w:line="240" w:lineRule="exact"/>
      <w:jc w:val="both"/>
    </w:pPr>
    <w:rPr>
      <w:rFonts w:cs="Times New Roman"/>
      <w:sz w:val="20"/>
      <w:szCs w:val="20"/>
      <w:vertAlign w:val="superscript"/>
      <w:lang w:val="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Tiu1">
    <w:name w:val="Tiêu đề #1_"/>
    <w:basedOn w:val="DefaultParagraphFont"/>
    <w:link w:val="Tiu10"/>
    <w:rPr>
      <w:rFonts w:eastAsia="Times New Roman" w:cs="Times New Roman"/>
      <w:b/>
      <w:bCs/>
      <w:szCs w:val="28"/>
    </w:rPr>
  </w:style>
  <w:style w:type="character" w:customStyle="1" w:styleId="Vnbnnidung">
    <w:name w:val="Văn bản nội dung_"/>
    <w:basedOn w:val="DefaultParagraphFont"/>
    <w:link w:val="Vnbnnidung0"/>
    <w:rPr>
      <w:rFonts w:eastAsia="Times New Roman" w:cs="Times New Roman"/>
      <w:szCs w:val="28"/>
    </w:rPr>
  </w:style>
  <w:style w:type="paragraph" w:customStyle="1" w:styleId="Tiu10">
    <w:name w:val="Tiêu đề #1"/>
    <w:basedOn w:val="Normal"/>
    <w:link w:val="Tiu1"/>
    <w:pPr>
      <w:widowControl w:val="0"/>
      <w:spacing w:after="120" w:line="283" w:lineRule="auto"/>
      <w:ind w:firstLine="700"/>
      <w:outlineLvl w:val="0"/>
    </w:pPr>
    <w:rPr>
      <w:rFonts w:eastAsia="Times New Roman" w:cs="Times New Roman"/>
      <w:b/>
      <w:bCs/>
      <w:szCs w:val="28"/>
      <w:lang w:val="en-US"/>
    </w:rPr>
  </w:style>
  <w:style w:type="paragraph" w:customStyle="1" w:styleId="Vnbnnidung0">
    <w:name w:val="Văn bản nội dung"/>
    <w:basedOn w:val="Normal"/>
    <w:link w:val="Vnbnnidung"/>
    <w:pPr>
      <w:widowControl w:val="0"/>
      <w:spacing w:after="120" w:line="283" w:lineRule="auto"/>
      <w:ind w:firstLine="400"/>
    </w:pPr>
    <w:rPr>
      <w:rFonts w:eastAsia="Times New Roman" w:cs="Times New Roman"/>
      <w:szCs w:val="28"/>
      <w:lang w:val="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lang w:val="en-GB"/>
    </w:rPr>
  </w:style>
  <w:style w:type="paragraph" w:customStyle="1" w:styleId="PreformattedText">
    <w:name w:val="Preformatted Text"/>
    <w:basedOn w:val="Normal"/>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85368">
      <w:bodyDiv w:val="1"/>
      <w:marLeft w:val="0"/>
      <w:marRight w:val="0"/>
      <w:marTop w:val="0"/>
      <w:marBottom w:val="0"/>
      <w:divBdr>
        <w:top w:val="none" w:sz="0" w:space="0" w:color="auto"/>
        <w:left w:val="none" w:sz="0" w:space="0" w:color="auto"/>
        <w:bottom w:val="none" w:sz="0" w:space="0" w:color="auto"/>
        <w:right w:val="none" w:sz="0" w:space="0" w:color="auto"/>
      </w:divBdr>
    </w:div>
    <w:div w:id="879128129">
      <w:bodyDiv w:val="1"/>
      <w:marLeft w:val="0"/>
      <w:marRight w:val="0"/>
      <w:marTop w:val="0"/>
      <w:marBottom w:val="0"/>
      <w:divBdr>
        <w:top w:val="none" w:sz="0" w:space="0" w:color="auto"/>
        <w:left w:val="none" w:sz="0" w:space="0" w:color="auto"/>
        <w:bottom w:val="none" w:sz="0" w:space="0" w:color="auto"/>
        <w:right w:val="none" w:sz="0" w:space="0" w:color="auto"/>
      </w:divBdr>
    </w:div>
    <w:div w:id="1081560487">
      <w:bodyDiv w:val="1"/>
      <w:marLeft w:val="0"/>
      <w:marRight w:val="0"/>
      <w:marTop w:val="0"/>
      <w:marBottom w:val="0"/>
      <w:divBdr>
        <w:top w:val="none" w:sz="0" w:space="0" w:color="auto"/>
        <w:left w:val="none" w:sz="0" w:space="0" w:color="auto"/>
        <w:bottom w:val="none" w:sz="0" w:space="0" w:color="auto"/>
        <w:right w:val="none" w:sz="0" w:space="0" w:color="auto"/>
      </w:divBdr>
    </w:div>
    <w:div w:id="1125083205">
      <w:bodyDiv w:val="1"/>
      <w:marLeft w:val="0"/>
      <w:marRight w:val="0"/>
      <w:marTop w:val="0"/>
      <w:marBottom w:val="0"/>
      <w:divBdr>
        <w:top w:val="none" w:sz="0" w:space="0" w:color="auto"/>
        <w:left w:val="none" w:sz="0" w:space="0" w:color="auto"/>
        <w:bottom w:val="none" w:sz="0" w:space="0" w:color="auto"/>
        <w:right w:val="none" w:sz="0" w:space="0" w:color="auto"/>
      </w:divBdr>
    </w:div>
    <w:div w:id="1482037322">
      <w:bodyDiv w:val="1"/>
      <w:marLeft w:val="0"/>
      <w:marRight w:val="0"/>
      <w:marTop w:val="0"/>
      <w:marBottom w:val="0"/>
      <w:divBdr>
        <w:top w:val="none" w:sz="0" w:space="0" w:color="auto"/>
        <w:left w:val="none" w:sz="0" w:space="0" w:color="auto"/>
        <w:bottom w:val="none" w:sz="0" w:space="0" w:color="auto"/>
        <w:right w:val="none" w:sz="0" w:space="0" w:color="auto"/>
      </w:divBdr>
    </w:div>
    <w:div w:id="1685210992">
      <w:bodyDiv w:val="1"/>
      <w:marLeft w:val="0"/>
      <w:marRight w:val="0"/>
      <w:marTop w:val="0"/>
      <w:marBottom w:val="0"/>
      <w:divBdr>
        <w:top w:val="none" w:sz="0" w:space="0" w:color="auto"/>
        <w:left w:val="none" w:sz="0" w:space="0" w:color="auto"/>
        <w:bottom w:val="none" w:sz="0" w:space="0" w:color="auto"/>
        <w:right w:val="none" w:sz="0" w:space="0" w:color="auto"/>
      </w:divBdr>
    </w:div>
    <w:div w:id="1712218468">
      <w:bodyDiv w:val="1"/>
      <w:marLeft w:val="0"/>
      <w:marRight w:val="0"/>
      <w:marTop w:val="0"/>
      <w:marBottom w:val="0"/>
      <w:divBdr>
        <w:top w:val="none" w:sz="0" w:space="0" w:color="auto"/>
        <w:left w:val="none" w:sz="0" w:space="0" w:color="auto"/>
        <w:bottom w:val="none" w:sz="0" w:space="0" w:color="auto"/>
        <w:right w:val="none" w:sz="0" w:space="0" w:color="auto"/>
      </w:divBdr>
      <w:divsChild>
        <w:div w:id="613825890">
          <w:marLeft w:val="0"/>
          <w:marRight w:val="0"/>
          <w:marTop w:val="0"/>
          <w:marBottom w:val="150"/>
          <w:divBdr>
            <w:top w:val="none" w:sz="0" w:space="0" w:color="auto"/>
            <w:left w:val="none" w:sz="0" w:space="0" w:color="auto"/>
            <w:bottom w:val="none" w:sz="0" w:space="0" w:color="auto"/>
            <w:right w:val="none" w:sz="0" w:space="0" w:color="auto"/>
          </w:divBdr>
          <w:divsChild>
            <w:div w:id="856887995">
              <w:marLeft w:val="0"/>
              <w:marRight w:val="0"/>
              <w:marTop w:val="0"/>
              <w:marBottom w:val="0"/>
              <w:divBdr>
                <w:top w:val="none" w:sz="0" w:space="0" w:color="auto"/>
                <w:left w:val="none" w:sz="0" w:space="0" w:color="auto"/>
                <w:bottom w:val="none" w:sz="0" w:space="0" w:color="auto"/>
                <w:right w:val="none" w:sz="0" w:space="0" w:color="auto"/>
              </w:divBdr>
              <w:divsChild>
                <w:div w:id="266471506">
                  <w:marLeft w:val="0"/>
                  <w:marRight w:val="0"/>
                  <w:marTop w:val="0"/>
                  <w:marBottom w:val="0"/>
                  <w:divBdr>
                    <w:top w:val="none" w:sz="0" w:space="0" w:color="auto"/>
                    <w:left w:val="none" w:sz="0" w:space="0" w:color="auto"/>
                    <w:bottom w:val="none" w:sz="0" w:space="0" w:color="auto"/>
                    <w:right w:val="none" w:sz="0" w:space="0" w:color="auto"/>
                  </w:divBdr>
                  <w:divsChild>
                    <w:div w:id="1080634481">
                      <w:marLeft w:val="0"/>
                      <w:marRight w:val="0"/>
                      <w:marTop w:val="0"/>
                      <w:marBottom w:val="0"/>
                      <w:divBdr>
                        <w:top w:val="none" w:sz="0" w:space="0" w:color="auto"/>
                        <w:left w:val="none" w:sz="0" w:space="0" w:color="auto"/>
                        <w:bottom w:val="none" w:sz="0" w:space="0" w:color="auto"/>
                        <w:right w:val="none" w:sz="0" w:space="0" w:color="auto"/>
                      </w:divBdr>
                      <w:divsChild>
                        <w:div w:id="1481648990">
                          <w:marLeft w:val="0"/>
                          <w:marRight w:val="0"/>
                          <w:marTop w:val="0"/>
                          <w:marBottom w:val="0"/>
                          <w:divBdr>
                            <w:top w:val="none" w:sz="0" w:space="0" w:color="auto"/>
                            <w:left w:val="none" w:sz="0" w:space="0" w:color="auto"/>
                            <w:bottom w:val="none" w:sz="0" w:space="0" w:color="auto"/>
                            <w:right w:val="none" w:sz="0" w:space="0" w:color="auto"/>
                          </w:divBdr>
                          <w:divsChild>
                            <w:div w:id="1754157991">
                              <w:marLeft w:val="0"/>
                              <w:marRight w:val="0"/>
                              <w:marTop w:val="0"/>
                              <w:marBottom w:val="0"/>
                              <w:divBdr>
                                <w:top w:val="none" w:sz="0" w:space="0" w:color="auto"/>
                                <w:left w:val="none" w:sz="0" w:space="0" w:color="auto"/>
                                <w:bottom w:val="none" w:sz="0" w:space="0" w:color="auto"/>
                                <w:right w:val="none" w:sz="0" w:space="0" w:color="auto"/>
                              </w:divBdr>
                              <w:divsChild>
                                <w:div w:id="1701130756">
                                  <w:marLeft w:val="0"/>
                                  <w:marRight w:val="0"/>
                                  <w:marTop w:val="100"/>
                                  <w:marBottom w:val="100"/>
                                  <w:divBdr>
                                    <w:top w:val="none" w:sz="0" w:space="0" w:color="auto"/>
                                    <w:left w:val="none" w:sz="0" w:space="0" w:color="auto"/>
                                    <w:bottom w:val="none" w:sz="0" w:space="0" w:color="auto"/>
                                    <w:right w:val="none" w:sz="0" w:space="0" w:color="auto"/>
                                  </w:divBdr>
                                  <w:divsChild>
                                    <w:div w:id="830174307">
                                      <w:marLeft w:val="0"/>
                                      <w:marRight w:val="0"/>
                                      <w:marTop w:val="0"/>
                                      <w:marBottom w:val="0"/>
                                      <w:divBdr>
                                        <w:top w:val="none" w:sz="0" w:space="0" w:color="auto"/>
                                        <w:left w:val="none" w:sz="0" w:space="0" w:color="auto"/>
                                        <w:bottom w:val="none" w:sz="0" w:space="0" w:color="auto"/>
                                        <w:right w:val="none" w:sz="0" w:space="0" w:color="auto"/>
                                      </w:divBdr>
                                      <w:divsChild>
                                        <w:div w:id="945694838">
                                          <w:marLeft w:val="0"/>
                                          <w:marRight w:val="0"/>
                                          <w:marTop w:val="0"/>
                                          <w:marBottom w:val="0"/>
                                          <w:divBdr>
                                            <w:top w:val="none" w:sz="0" w:space="0" w:color="auto"/>
                                            <w:left w:val="none" w:sz="0" w:space="0" w:color="auto"/>
                                            <w:bottom w:val="none" w:sz="0" w:space="0" w:color="auto"/>
                                            <w:right w:val="none" w:sz="0" w:space="0" w:color="auto"/>
                                          </w:divBdr>
                                        </w:div>
                                        <w:div w:id="1356614169">
                                          <w:marLeft w:val="0"/>
                                          <w:marRight w:val="0"/>
                                          <w:marTop w:val="0"/>
                                          <w:marBottom w:val="0"/>
                                          <w:divBdr>
                                            <w:top w:val="none" w:sz="0" w:space="0" w:color="auto"/>
                                            <w:left w:val="none" w:sz="0" w:space="0" w:color="auto"/>
                                            <w:bottom w:val="none" w:sz="0" w:space="0" w:color="auto"/>
                                            <w:right w:val="none" w:sz="0" w:space="0" w:color="auto"/>
                                          </w:divBdr>
                                        </w:div>
                                      </w:divsChild>
                                    </w:div>
                                    <w:div w:id="1965848530">
                                      <w:marLeft w:val="0"/>
                                      <w:marRight w:val="0"/>
                                      <w:marTop w:val="0"/>
                                      <w:marBottom w:val="0"/>
                                      <w:divBdr>
                                        <w:top w:val="none" w:sz="0" w:space="0" w:color="auto"/>
                                        <w:left w:val="none" w:sz="0" w:space="0" w:color="auto"/>
                                        <w:bottom w:val="none" w:sz="0" w:space="0" w:color="auto"/>
                                        <w:right w:val="none" w:sz="0" w:space="0" w:color="auto"/>
                                      </w:divBdr>
                                      <w:divsChild>
                                        <w:div w:id="1420911496">
                                          <w:marLeft w:val="0"/>
                                          <w:marRight w:val="0"/>
                                          <w:marTop w:val="0"/>
                                          <w:marBottom w:val="0"/>
                                          <w:divBdr>
                                            <w:top w:val="none" w:sz="0" w:space="0" w:color="auto"/>
                                            <w:left w:val="none" w:sz="0" w:space="0" w:color="auto"/>
                                            <w:bottom w:val="none" w:sz="0" w:space="0" w:color="auto"/>
                                            <w:right w:val="none" w:sz="0" w:space="0" w:color="auto"/>
                                          </w:divBdr>
                                          <w:divsChild>
                                            <w:div w:id="194274578">
                                              <w:marLeft w:val="0"/>
                                              <w:marRight w:val="0"/>
                                              <w:marTop w:val="0"/>
                                              <w:marBottom w:val="0"/>
                                              <w:divBdr>
                                                <w:top w:val="none" w:sz="0" w:space="0" w:color="auto"/>
                                                <w:left w:val="none" w:sz="0" w:space="0" w:color="auto"/>
                                                <w:bottom w:val="none" w:sz="0" w:space="0" w:color="auto"/>
                                                <w:right w:val="none" w:sz="0" w:space="0" w:color="auto"/>
                                              </w:divBdr>
                                              <w:divsChild>
                                                <w:div w:id="315884591">
                                                  <w:marLeft w:val="0"/>
                                                  <w:marRight w:val="0"/>
                                                  <w:marTop w:val="0"/>
                                                  <w:marBottom w:val="0"/>
                                                  <w:divBdr>
                                                    <w:top w:val="none" w:sz="0" w:space="0" w:color="auto"/>
                                                    <w:left w:val="none" w:sz="0" w:space="0" w:color="auto"/>
                                                    <w:bottom w:val="none" w:sz="0" w:space="0" w:color="auto"/>
                                                    <w:right w:val="none" w:sz="0" w:space="0" w:color="auto"/>
                                                  </w:divBdr>
                                                </w:div>
                                              </w:divsChild>
                                            </w:div>
                                            <w:div w:id="2141922451">
                                              <w:marLeft w:val="0"/>
                                              <w:marRight w:val="0"/>
                                              <w:marTop w:val="0"/>
                                              <w:marBottom w:val="0"/>
                                              <w:divBdr>
                                                <w:top w:val="none" w:sz="0" w:space="0" w:color="auto"/>
                                                <w:left w:val="none" w:sz="0" w:space="0" w:color="auto"/>
                                                <w:bottom w:val="none" w:sz="0" w:space="0" w:color="auto"/>
                                                <w:right w:val="none" w:sz="0" w:space="0" w:color="auto"/>
                                              </w:divBdr>
                                            </w:div>
                                            <w:div w:id="878591780">
                                              <w:marLeft w:val="0"/>
                                              <w:marRight w:val="0"/>
                                              <w:marTop w:val="0"/>
                                              <w:marBottom w:val="0"/>
                                              <w:divBdr>
                                                <w:top w:val="none" w:sz="0" w:space="0" w:color="auto"/>
                                                <w:left w:val="none" w:sz="0" w:space="0" w:color="auto"/>
                                                <w:bottom w:val="none" w:sz="0" w:space="0" w:color="auto"/>
                                                <w:right w:val="none" w:sz="0" w:space="0" w:color="auto"/>
                                              </w:divBdr>
                                            </w:div>
                                            <w:div w:id="16034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543214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51621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983387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417304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66569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48218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870761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2588429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3728284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043584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8324070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752930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71949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967944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318988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242531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39006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74980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80360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898034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373657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2620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29002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178384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39513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750780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41334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142140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13169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541126">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60262024">
      <w:bodyDiv w:val="1"/>
      <w:marLeft w:val="0"/>
      <w:marRight w:val="0"/>
      <w:marTop w:val="0"/>
      <w:marBottom w:val="0"/>
      <w:divBdr>
        <w:top w:val="none" w:sz="0" w:space="0" w:color="auto"/>
        <w:left w:val="none" w:sz="0" w:space="0" w:color="auto"/>
        <w:bottom w:val="none" w:sz="0" w:space="0" w:color="auto"/>
        <w:right w:val="none" w:sz="0" w:space="0" w:color="auto"/>
      </w:divBdr>
    </w:div>
    <w:div w:id="2029139558">
      <w:bodyDiv w:val="1"/>
      <w:marLeft w:val="0"/>
      <w:marRight w:val="0"/>
      <w:marTop w:val="0"/>
      <w:marBottom w:val="0"/>
      <w:divBdr>
        <w:top w:val="none" w:sz="0" w:space="0" w:color="auto"/>
        <w:left w:val="none" w:sz="0" w:space="0" w:color="auto"/>
        <w:bottom w:val="none" w:sz="0" w:space="0" w:color="auto"/>
        <w:right w:val="none" w:sz="0" w:space="0" w:color="auto"/>
      </w:divBdr>
      <w:divsChild>
        <w:div w:id="10574360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898635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61578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1768130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48219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323325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875179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643183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68867922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6365674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677861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603488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956615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56036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1034102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795806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91810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034332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747281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3546636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632130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9643234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5698890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9809862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16209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7960693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424868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241436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634025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5742570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457715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247870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99281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58098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8798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635533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963113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760488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354558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49548605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4421055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088564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2786377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89443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348629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75820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8627133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3726191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9365105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750347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216507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4211711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4996879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46242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4472065">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203271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11335091">
          <w:blockQuote w:val="1"/>
          <w:marLeft w:val="0"/>
          <w:marRight w:val="0"/>
          <w:marTop w:val="0"/>
          <w:marBottom w:val="75"/>
          <w:divBdr>
            <w:top w:val="none" w:sz="0" w:space="0" w:color="9B86E5"/>
            <w:left w:val="single" w:sz="24" w:space="9" w:color="9B86E5"/>
            <w:bottom w:val="none" w:sz="0" w:space="0" w:color="9B86E5"/>
            <w:right w:val="none" w:sz="0" w:space="0" w:color="9B86E5"/>
          </w:divBdr>
        </w:div>
      </w:divsChild>
    </w:div>
    <w:div w:id="2084178592">
      <w:bodyDiv w:val="1"/>
      <w:marLeft w:val="0"/>
      <w:marRight w:val="0"/>
      <w:marTop w:val="0"/>
      <w:marBottom w:val="0"/>
      <w:divBdr>
        <w:top w:val="none" w:sz="0" w:space="0" w:color="auto"/>
        <w:left w:val="none" w:sz="0" w:space="0" w:color="auto"/>
        <w:bottom w:val="none" w:sz="0" w:space="0" w:color="auto"/>
        <w:right w:val="none" w:sz="0" w:space="0" w:color="auto"/>
      </w:divBdr>
    </w:div>
    <w:div w:id="209389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00173-C9E5-4C38-BD15-FAC6B3903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ECF051-512F-43CB-8B64-8B81799EC5B7}">
  <ds:schemaRefs>
    <ds:schemaRef ds:uri="http://schemas.microsoft.com/sharepoint/v3/contenttype/forms"/>
  </ds:schemaRefs>
</ds:datastoreItem>
</file>

<file path=customXml/itemProps3.xml><?xml version="1.0" encoding="utf-8"?>
<ds:datastoreItem xmlns:ds="http://schemas.openxmlformats.org/officeDocument/2006/customXml" ds:itemID="{5002588E-C714-4C08-8303-8BE42D58E70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5FD23A-AB97-4390-98B5-CB10D1D60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3865</Words>
  <Characters>22036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11</cp:revision>
  <cp:lastPrinted>2024-12-16T08:56:00Z</cp:lastPrinted>
  <dcterms:created xsi:type="dcterms:W3CDTF">2026-09-18T08:06:00Z</dcterms:created>
  <dcterms:modified xsi:type="dcterms:W3CDTF">2026-09-21T09:58:00Z</dcterms:modified>
</cp:coreProperties>
</file>